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77" w:rsidRPr="008D3B45" w:rsidRDefault="00076182" w:rsidP="004C1291">
      <w:pPr>
        <w:ind w:left="4395"/>
        <w:jc w:val="center"/>
        <w:rPr>
          <w:sz w:val="28"/>
          <w:szCs w:val="24"/>
        </w:rPr>
      </w:pPr>
      <w:r w:rsidRPr="008D3B45">
        <w:rPr>
          <w:sz w:val="28"/>
          <w:szCs w:val="24"/>
        </w:rPr>
        <w:t>ПРИЛОЖЕНИЕ</w:t>
      </w:r>
      <w:r w:rsidR="00B10C73" w:rsidRPr="008D3B45">
        <w:rPr>
          <w:sz w:val="28"/>
          <w:szCs w:val="24"/>
        </w:rPr>
        <w:t xml:space="preserve"> 5</w:t>
      </w:r>
    </w:p>
    <w:p w:rsidR="004E5155" w:rsidRPr="008D3B45" w:rsidRDefault="004D6B83" w:rsidP="004C1291">
      <w:pPr>
        <w:ind w:left="4395"/>
        <w:jc w:val="center"/>
        <w:rPr>
          <w:sz w:val="28"/>
          <w:szCs w:val="24"/>
        </w:rPr>
      </w:pPr>
      <w:r w:rsidRPr="008D3B45">
        <w:rPr>
          <w:sz w:val="28"/>
          <w:szCs w:val="24"/>
        </w:rPr>
        <w:t>к муниципальной Программе</w:t>
      </w:r>
    </w:p>
    <w:p w:rsidR="004D6B83" w:rsidRPr="008D3B45" w:rsidRDefault="004D6B83" w:rsidP="004C1291">
      <w:pPr>
        <w:ind w:left="4395"/>
        <w:jc w:val="center"/>
        <w:rPr>
          <w:sz w:val="28"/>
          <w:szCs w:val="24"/>
        </w:rPr>
      </w:pPr>
      <w:r w:rsidRPr="008D3B45">
        <w:rPr>
          <w:sz w:val="28"/>
          <w:szCs w:val="24"/>
        </w:rPr>
        <w:t>«Обеспечение качественными услугами</w:t>
      </w:r>
    </w:p>
    <w:p w:rsidR="004D6B83" w:rsidRPr="008D3B45" w:rsidRDefault="004D6B83" w:rsidP="004C1291">
      <w:pPr>
        <w:ind w:left="4395"/>
        <w:jc w:val="center"/>
        <w:rPr>
          <w:b/>
          <w:sz w:val="28"/>
          <w:szCs w:val="24"/>
        </w:rPr>
      </w:pPr>
      <w:r w:rsidRPr="008D3B45">
        <w:rPr>
          <w:sz w:val="28"/>
          <w:szCs w:val="24"/>
        </w:rPr>
        <w:t>жилищно-коммунального хозяйства населения,</w:t>
      </w:r>
      <w:r w:rsidR="00076182" w:rsidRPr="008D3B45">
        <w:rPr>
          <w:sz w:val="28"/>
          <w:szCs w:val="24"/>
        </w:rPr>
        <w:t xml:space="preserve"> </w:t>
      </w:r>
      <w:r w:rsidRPr="008D3B45">
        <w:rPr>
          <w:sz w:val="28"/>
          <w:szCs w:val="24"/>
        </w:rPr>
        <w:t>дорожной деятельности и транспорта</w:t>
      </w:r>
      <w:r w:rsidR="00076182" w:rsidRPr="008D3B45">
        <w:rPr>
          <w:sz w:val="28"/>
          <w:szCs w:val="24"/>
        </w:rPr>
        <w:t xml:space="preserve"> </w:t>
      </w:r>
      <w:r w:rsidRPr="008D3B45">
        <w:rPr>
          <w:sz w:val="28"/>
          <w:szCs w:val="24"/>
        </w:rPr>
        <w:t>Златоустовского городского округа»</w:t>
      </w:r>
    </w:p>
    <w:p w:rsidR="005660B3" w:rsidRPr="00076182" w:rsidRDefault="005660B3" w:rsidP="00076182">
      <w:pPr>
        <w:jc w:val="center"/>
        <w:rPr>
          <w:sz w:val="24"/>
          <w:szCs w:val="24"/>
        </w:rPr>
      </w:pPr>
    </w:p>
    <w:p w:rsidR="005660B3" w:rsidRPr="00076182" w:rsidRDefault="005660B3">
      <w:pPr>
        <w:jc w:val="center"/>
        <w:rPr>
          <w:sz w:val="24"/>
          <w:szCs w:val="24"/>
        </w:rPr>
      </w:pPr>
    </w:p>
    <w:p w:rsidR="005660B3" w:rsidRPr="00076182" w:rsidRDefault="005660B3">
      <w:pPr>
        <w:jc w:val="center"/>
        <w:rPr>
          <w:sz w:val="24"/>
          <w:szCs w:val="24"/>
        </w:rPr>
      </w:pPr>
    </w:p>
    <w:p w:rsidR="005660B3" w:rsidRPr="00076182" w:rsidRDefault="005660B3">
      <w:pPr>
        <w:jc w:val="center"/>
        <w:rPr>
          <w:sz w:val="24"/>
          <w:szCs w:val="24"/>
        </w:rPr>
      </w:pPr>
    </w:p>
    <w:p w:rsidR="00695739" w:rsidRDefault="00695739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Default="00076182">
      <w:pPr>
        <w:jc w:val="center"/>
        <w:rPr>
          <w:sz w:val="24"/>
          <w:szCs w:val="24"/>
        </w:rPr>
      </w:pPr>
    </w:p>
    <w:p w:rsidR="00076182" w:rsidRPr="00076182" w:rsidRDefault="00076182">
      <w:pPr>
        <w:jc w:val="center"/>
        <w:rPr>
          <w:sz w:val="24"/>
          <w:szCs w:val="24"/>
        </w:rPr>
      </w:pPr>
    </w:p>
    <w:p w:rsidR="00695739" w:rsidRDefault="00695739">
      <w:pPr>
        <w:jc w:val="center"/>
        <w:rPr>
          <w:sz w:val="24"/>
          <w:szCs w:val="24"/>
        </w:rPr>
      </w:pPr>
    </w:p>
    <w:p w:rsidR="00F31AEA" w:rsidRPr="00076182" w:rsidRDefault="00F31AEA">
      <w:pPr>
        <w:jc w:val="center"/>
        <w:rPr>
          <w:sz w:val="24"/>
          <w:szCs w:val="24"/>
        </w:rPr>
      </w:pPr>
    </w:p>
    <w:p w:rsidR="00695739" w:rsidRPr="00076182" w:rsidRDefault="00695739">
      <w:pPr>
        <w:jc w:val="center"/>
        <w:rPr>
          <w:sz w:val="24"/>
          <w:szCs w:val="24"/>
        </w:rPr>
      </w:pPr>
    </w:p>
    <w:p w:rsidR="004E5155" w:rsidRPr="008D3B45" w:rsidRDefault="008D3B45">
      <w:pPr>
        <w:jc w:val="center"/>
        <w:rPr>
          <w:sz w:val="28"/>
          <w:szCs w:val="24"/>
        </w:rPr>
      </w:pPr>
      <w:r w:rsidRPr="008D3B45">
        <w:rPr>
          <w:sz w:val="28"/>
          <w:szCs w:val="24"/>
        </w:rPr>
        <w:t>Подпрограмма</w:t>
      </w:r>
    </w:p>
    <w:p w:rsidR="004E5155" w:rsidRPr="008D3B45" w:rsidRDefault="008D3B45">
      <w:pPr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«Э</w:t>
      </w:r>
      <w:r w:rsidRPr="008D3B45">
        <w:rPr>
          <w:color w:val="000000"/>
          <w:sz w:val="28"/>
          <w:szCs w:val="24"/>
        </w:rPr>
        <w:t xml:space="preserve">нергосбережение и повышение энергетической эффективности </w:t>
      </w:r>
    </w:p>
    <w:p w:rsidR="00552221" w:rsidRPr="008D3B45" w:rsidRDefault="008D3B45">
      <w:pPr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З</w:t>
      </w:r>
      <w:r w:rsidRPr="008D3B45">
        <w:rPr>
          <w:color w:val="000000"/>
          <w:sz w:val="28"/>
          <w:szCs w:val="24"/>
        </w:rPr>
        <w:t>латоустовского городского округа»</w:t>
      </w:r>
    </w:p>
    <w:p w:rsidR="004E5155" w:rsidRPr="00076182" w:rsidRDefault="004E5155">
      <w:pPr>
        <w:jc w:val="center"/>
        <w:rPr>
          <w:color w:val="000000"/>
          <w:sz w:val="24"/>
          <w:szCs w:val="24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</w:pPr>
      <w:r w:rsidRPr="00081E44">
        <w:t xml:space="preserve">                                                          </w:t>
      </w: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4E5155" w:rsidRPr="00081E44" w:rsidRDefault="004E5155">
      <w:pPr>
        <w:jc w:val="both"/>
        <w:rPr>
          <w:b/>
          <w:color w:val="000000"/>
        </w:rPr>
      </w:pPr>
    </w:p>
    <w:p w:rsidR="00690A42" w:rsidRPr="00081E44" w:rsidRDefault="00690A42" w:rsidP="00690A42">
      <w:pPr>
        <w:ind w:left="3545" w:firstLine="709"/>
        <w:rPr>
          <w:color w:val="000000"/>
        </w:rPr>
      </w:pPr>
    </w:p>
    <w:p w:rsidR="00690A42" w:rsidRPr="00081E44" w:rsidRDefault="00690A42" w:rsidP="00690A42">
      <w:pPr>
        <w:ind w:left="3545" w:firstLine="709"/>
        <w:rPr>
          <w:color w:val="000000"/>
        </w:rPr>
      </w:pPr>
    </w:p>
    <w:p w:rsidR="00690A42" w:rsidRPr="00081E44" w:rsidRDefault="00690A42" w:rsidP="00690A42">
      <w:pPr>
        <w:ind w:left="3545" w:firstLine="709"/>
        <w:rPr>
          <w:color w:val="000000"/>
        </w:rPr>
      </w:pPr>
    </w:p>
    <w:p w:rsidR="00C13E63" w:rsidRPr="00081E44" w:rsidRDefault="00C13E63" w:rsidP="00690A42">
      <w:pPr>
        <w:ind w:left="3545" w:firstLine="709"/>
        <w:rPr>
          <w:color w:val="000000"/>
        </w:rPr>
      </w:pPr>
    </w:p>
    <w:p w:rsidR="00C13E63" w:rsidRPr="00081E44" w:rsidRDefault="00C13E63" w:rsidP="00690A42">
      <w:pPr>
        <w:ind w:left="3545" w:firstLine="709"/>
        <w:rPr>
          <w:color w:val="000000"/>
        </w:rPr>
      </w:pPr>
    </w:p>
    <w:p w:rsidR="00C13E63" w:rsidRPr="00081E44" w:rsidRDefault="00C13E63" w:rsidP="00690A42">
      <w:pPr>
        <w:ind w:left="3545" w:firstLine="709"/>
        <w:rPr>
          <w:color w:val="000000"/>
        </w:rPr>
      </w:pPr>
    </w:p>
    <w:p w:rsidR="00C13E63" w:rsidRPr="00081E44" w:rsidRDefault="00C13E63" w:rsidP="00690A42">
      <w:pPr>
        <w:ind w:left="3545" w:firstLine="709"/>
        <w:rPr>
          <w:color w:val="000000"/>
        </w:rPr>
      </w:pPr>
    </w:p>
    <w:p w:rsidR="00C13E63" w:rsidRPr="00081E44" w:rsidRDefault="00C13E63" w:rsidP="00690A42">
      <w:pPr>
        <w:ind w:left="3545" w:firstLine="709"/>
        <w:rPr>
          <w:color w:val="000000"/>
        </w:rPr>
      </w:pPr>
    </w:p>
    <w:p w:rsidR="00C13E63" w:rsidRPr="00081E44" w:rsidRDefault="00C13E63" w:rsidP="00690A42">
      <w:pPr>
        <w:ind w:left="3545" w:firstLine="709"/>
        <w:rPr>
          <w:color w:val="000000"/>
        </w:rPr>
      </w:pPr>
    </w:p>
    <w:p w:rsidR="004E5155" w:rsidRPr="00081E44" w:rsidRDefault="004E5155" w:rsidP="00552221">
      <w:pPr>
        <w:ind w:left="3545" w:firstLine="709"/>
        <w:rPr>
          <w:color w:val="000000"/>
        </w:rPr>
        <w:sectPr w:rsidR="004E5155" w:rsidRPr="00081E44" w:rsidSect="004C1291">
          <w:pgSz w:w="11905" w:h="16837"/>
          <w:pgMar w:top="1134" w:right="851" w:bottom="1134" w:left="1418" w:header="720" w:footer="720" w:gutter="0"/>
          <w:cols w:space="720"/>
          <w:docGrid w:linePitch="360"/>
        </w:sectPr>
      </w:pPr>
    </w:p>
    <w:p w:rsidR="004E5155" w:rsidRPr="00CA365D" w:rsidRDefault="004E5155" w:rsidP="00076182">
      <w:pPr>
        <w:jc w:val="center"/>
        <w:rPr>
          <w:sz w:val="28"/>
          <w:szCs w:val="24"/>
        </w:rPr>
      </w:pPr>
      <w:r w:rsidRPr="00CA365D">
        <w:rPr>
          <w:color w:val="000000"/>
          <w:sz w:val="28"/>
          <w:szCs w:val="24"/>
        </w:rPr>
        <w:lastRenderedPageBreak/>
        <w:t xml:space="preserve">Раздел </w:t>
      </w:r>
      <w:r w:rsidR="00EA0193" w:rsidRPr="00CA365D">
        <w:rPr>
          <w:color w:val="000000"/>
          <w:sz w:val="28"/>
          <w:szCs w:val="24"/>
        </w:rPr>
        <w:t>1</w:t>
      </w:r>
      <w:r w:rsidRPr="00CA365D">
        <w:rPr>
          <w:color w:val="000000"/>
          <w:sz w:val="28"/>
          <w:szCs w:val="24"/>
        </w:rPr>
        <w:t xml:space="preserve">. Паспорт </w:t>
      </w:r>
      <w:r w:rsidR="000372BA" w:rsidRPr="00CA365D">
        <w:rPr>
          <w:color w:val="000000"/>
          <w:sz w:val="28"/>
          <w:szCs w:val="24"/>
        </w:rPr>
        <w:t>Подпрограммы</w:t>
      </w:r>
    </w:p>
    <w:tbl>
      <w:tblPr>
        <w:tblpPr w:leftFromText="180" w:rightFromText="180" w:horzAnchor="margin" w:tblpY="375"/>
        <w:tblW w:w="10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3547"/>
        <w:gridCol w:w="694"/>
        <w:gridCol w:w="865"/>
        <w:gridCol w:w="850"/>
        <w:gridCol w:w="850"/>
        <w:gridCol w:w="709"/>
      </w:tblGrid>
      <w:tr w:rsidR="000372BA" w:rsidRPr="00081E44" w:rsidTr="00076182"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0372BA" w:rsidP="00262192">
            <w:pPr>
              <w:pStyle w:val="a6"/>
              <w:tabs>
                <w:tab w:val="left" w:pos="3242"/>
              </w:tabs>
              <w:snapToGrid w:val="0"/>
              <w:ind w:left="25" w:right="5"/>
              <w:jc w:val="center"/>
            </w:pPr>
            <w:r w:rsidRPr="00076182">
              <w:t>Ответственный исполнитель Подпрограммы</w:t>
            </w:r>
          </w:p>
        </w:tc>
        <w:tc>
          <w:tcPr>
            <w:tcW w:w="7515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3839CB" w:rsidP="00262192">
            <w:pPr>
              <w:snapToGrid w:val="0"/>
              <w:jc w:val="center"/>
              <w:rPr>
                <w:sz w:val="24"/>
                <w:szCs w:val="24"/>
              </w:rPr>
            </w:pPr>
            <w:r w:rsidRPr="00076182">
              <w:rPr>
                <w:sz w:val="24"/>
                <w:szCs w:val="24"/>
              </w:rPr>
              <w:t>М</w:t>
            </w:r>
            <w:r w:rsidR="000372BA" w:rsidRPr="00076182">
              <w:rPr>
                <w:sz w:val="24"/>
                <w:szCs w:val="24"/>
              </w:rPr>
              <w:t>униципальное каз</w:t>
            </w:r>
            <w:r w:rsidR="00076182">
              <w:rPr>
                <w:sz w:val="24"/>
                <w:szCs w:val="24"/>
              </w:rPr>
              <w:t>е</w:t>
            </w:r>
            <w:r w:rsidR="000372BA" w:rsidRPr="00076182">
              <w:rPr>
                <w:sz w:val="24"/>
                <w:szCs w:val="24"/>
              </w:rPr>
              <w:t>нное учреждение Златоустовского городского округа «Управление жилищно-коммунального хозяйства»</w:t>
            </w:r>
          </w:p>
          <w:p w:rsidR="000372BA" w:rsidRPr="00076182" w:rsidRDefault="000372BA" w:rsidP="00262192">
            <w:pPr>
              <w:snapToGrid w:val="0"/>
              <w:jc w:val="center"/>
              <w:rPr>
                <w:sz w:val="24"/>
                <w:szCs w:val="24"/>
              </w:rPr>
            </w:pPr>
            <w:r w:rsidRPr="00076182">
              <w:rPr>
                <w:sz w:val="24"/>
                <w:szCs w:val="24"/>
              </w:rPr>
              <w:t>(далее – МКУ ЗГО «УЖКХ»)</w:t>
            </w:r>
          </w:p>
        </w:tc>
      </w:tr>
      <w:tr w:rsidR="000372BA" w:rsidRPr="00081E44" w:rsidTr="00076182"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0372BA" w:rsidP="00262192">
            <w:pPr>
              <w:snapToGrid w:val="0"/>
              <w:jc w:val="center"/>
              <w:rPr>
                <w:sz w:val="24"/>
                <w:szCs w:val="24"/>
              </w:rPr>
            </w:pPr>
            <w:r w:rsidRPr="00076182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5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2032BE" w:rsidP="00262192">
            <w:pPr>
              <w:pStyle w:val="a6"/>
              <w:snapToGrid w:val="0"/>
              <w:jc w:val="center"/>
            </w:pPr>
            <w:r w:rsidRPr="00076182">
              <w:t>Отсутствуют</w:t>
            </w:r>
          </w:p>
        </w:tc>
      </w:tr>
      <w:tr w:rsidR="000372BA" w:rsidRPr="00081E44" w:rsidTr="00076182">
        <w:trPr>
          <w:trHeight w:val="385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0372BA" w:rsidP="00262192">
            <w:pPr>
              <w:snapToGrid w:val="0"/>
              <w:jc w:val="center"/>
              <w:rPr>
                <w:sz w:val="24"/>
                <w:szCs w:val="24"/>
              </w:rPr>
            </w:pPr>
            <w:r w:rsidRPr="00076182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5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0372BA" w:rsidP="00262192">
            <w:pPr>
              <w:pStyle w:val="a6"/>
              <w:snapToGrid w:val="0"/>
              <w:jc w:val="center"/>
            </w:pPr>
            <w:r w:rsidRPr="00076182">
              <w:t>Отсутствуют</w:t>
            </w:r>
          </w:p>
        </w:tc>
      </w:tr>
      <w:tr w:rsidR="000372BA" w:rsidRPr="00081E44" w:rsidTr="00076182"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0372B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5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2BA" w:rsidRPr="00076182" w:rsidRDefault="00076182" w:rsidP="00CD464C">
            <w:pPr>
              <w:ind w:left="145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П</w:t>
            </w:r>
            <w:r w:rsidR="00D1338F" w:rsidRPr="00076182">
              <w:rPr>
                <w:color w:val="000000"/>
                <w:sz w:val="24"/>
                <w:szCs w:val="24"/>
              </w:rPr>
              <w:t>овышение энергетической эффективности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D464C">
              <w:rPr>
                <w:color w:val="000000"/>
                <w:sz w:val="24"/>
                <w:szCs w:val="24"/>
              </w:rPr>
              <w:t xml:space="preserve">и </w:t>
            </w:r>
            <w:r>
              <w:rPr>
                <w:color w:val="000000"/>
                <w:sz w:val="24"/>
                <w:szCs w:val="24"/>
              </w:rPr>
              <w:t>экономи</w:t>
            </w:r>
            <w:r w:rsidR="00CD464C">
              <w:rPr>
                <w:color w:val="000000"/>
                <w:sz w:val="24"/>
                <w:szCs w:val="24"/>
              </w:rPr>
              <w:t>и</w:t>
            </w:r>
            <w:r w:rsidR="00D1338F" w:rsidRPr="00076182">
              <w:rPr>
                <w:color w:val="000000"/>
                <w:sz w:val="24"/>
                <w:szCs w:val="24"/>
              </w:rPr>
              <w:t xml:space="preserve"> бюджетных средств </w:t>
            </w:r>
            <w:r w:rsidR="00CD464C">
              <w:rPr>
                <w:color w:val="000000"/>
                <w:sz w:val="24"/>
                <w:szCs w:val="24"/>
              </w:rPr>
              <w:t>потребителей</w:t>
            </w:r>
            <w:r w:rsidR="00D1338F" w:rsidRPr="00076182">
              <w:rPr>
                <w:color w:val="000000"/>
                <w:sz w:val="24"/>
                <w:szCs w:val="24"/>
              </w:rPr>
              <w:t xml:space="preserve"> </w:t>
            </w:r>
            <w:r w:rsidR="00CD464C">
              <w:rPr>
                <w:color w:val="000000"/>
                <w:sz w:val="24"/>
                <w:szCs w:val="24"/>
              </w:rPr>
              <w:t xml:space="preserve">топливно-энергетических ресурсов </w:t>
            </w:r>
            <w:r w:rsidR="00D1338F" w:rsidRPr="00076182">
              <w:rPr>
                <w:color w:val="000000"/>
                <w:sz w:val="24"/>
                <w:szCs w:val="24"/>
              </w:rPr>
              <w:t>на территории Златоустовского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(далее – округа)</w:t>
            </w:r>
            <w:r w:rsidR="00D1338F" w:rsidRPr="00076182">
              <w:rPr>
                <w:color w:val="000000"/>
                <w:sz w:val="24"/>
                <w:szCs w:val="24"/>
              </w:rPr>
              <w:t>.</w:t>
            </w:r>
          </w:p>
        </w:tc>
      </w:tr>
      <w:tr w:rsidR="000372BA" w:rsidRPr="00081E44" w:rsidTr="00076182">
        <w:trPr>
          <w:trHeight w:val="706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0372B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5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192" w:rsidRPr="00076182" w:rsidRDefault="00CD464C" w:rsidP="00076182">
            <w:pPr>
              <w:pStyle w:val="a7"/>
              <w:numPr>
                <w:ilvl w:val="0"/>
                <w:numId w:val="12"/>
              </w:numPr>
              <w:tabs>
                <w:tab w:val="left" w:pos="429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147" w:righ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Дистанционное управление линиями наружного освещения с дистпетчерского пункта</w:t>
            </w:r>
            <w:r w:rsidR="0007618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464C" w:rsidRDefault="00CD464C" w:rsidP="00076182">
            <w:pPr>
              <w:pStyle w:val="a7"/>
              <w:numPr>
                <w:ilvl w:val="0"/>
                <w:numId w:val="12"/>
              </w:numPr>
              <w:tabs>
                <w:tab w:val="left" w:pos="429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147" w:righ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переключения режимов освещения по графику.</w:t>
            </w:r>
          </w:p>
          <w:p w:rsidR="00CD464C" w:rsidRDefault="00CD464C" w:rsidP="00076182">
            <w:pPr>
              <w:pStyle w:val="a7"/>
              <w:numPr>
                <w:ilvl w:val="0"/>
                <w:numId w:val="12"/>
              </w:numPr>
              <w:tabs>
                <w:tab w:val="left" w:pos="429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147" w:righ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потребления мощности в ночное время до 30% за счет диммирования по графику.</w:t>
            </w:r>
          </w:p>
          <w:p w:rsidR="00CD464C" w:rsidRDefault="00CD464C" w:rsidP="00076182">
            <w:pPr>
              <w:pStyle w:val="a7"/>
              <w:numPr>
                <w:ilvl w:val="0"/>
                <w:numId w:val="12"/>
              </w:numPr>
              <w:tabs>
                <w:tab w:val="left" w:pos="429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147" w:righ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Дистанционный контроль состояния электротехнического оборудования и линий наружного освещения.</w:t>
            </w:r>
          </w:p>
          <w:p w:rsidR="00CD464C" w:rsidRDefault="00CD464C" w:rsidP="00076182">
            <w:pPr>
              <w:pStyle w:val="a7"/>
              <w:numPr>
                <w:ilvl w:val="0"/>
                <w:numId w:val="12"/>
              </w:numPr>
              <w:tabs>
                <w:tab w:val="left" w:pos="429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147" w:righ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контроля целостности линий наружного освещения.</w:t>
            </w:r>
          </w:p>
          <w:p w:rsidR="00CD464C" w:rsidRDefault="00CD464C" w:rsidP="00076182">
            <w:pPr>
              <w:pStyle w:val="a7"/>
              <w:numPr>
                <w:ilvl w:val="0"/>
                <w:numId w:val="12"/>
              </w:numPr>
              <w:tabs>
                <w:tab w:val="left" w:pos="429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147" w:righ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Дистанционный контроль и управление до уровня каждой световой точки.</w:t>
            </w:r>
          </w:p>
          <w:p w:rsidR="000372BA" w:rsidRPr="00076182" w:rsidRDefault="00CD464C" w:rsidP="00CD464C">
            <w:pPr>
              <w:pStyle w:val="a7"/>
              <w:numPr>
                <w:ilvl w:val="0"/>
                <w:numId w:val="12"/>
              </w:numPr>
              <w:tabs>
                <w:tab w:val="left" w:pos="429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147" w:righ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Дистанционное снятие показаний с приборов учета коммерческого учета электроэнергии.</w:t>
            </w:r>
          </w:p>
        </w:tc>
      </w:tr>
      <w:tr w:rsidR="00F5588A" w:rsidRPr="00081E44" w:rsidTr="00076182">
        <w:trPr>
          <w:trHeight w:val="341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5588A" w:rsidRPr="00076182" w:rsidRDefault="00F5588A" w:rsidP="0026219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88A" w:rsidRPr="00076182" w:rsidRDefault="00F5588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Целевые индикаторы и показатели Подпрограммы</w:t>
            </w:r>
          </w:p>
          <w:p w:rsidR="00F5588A" w:rsidRPr="00076182" w:rsidRDefault="00F5588A" w:rsidP="002621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:rsidR="00F5588A" w:rsidRPr="00076182" w:rsidRDefault="00F5588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</w:tcPr>
          <w:p w:rsidR="00F5588A" w:rsidRPr="00076182" w:rsidRDefault="00F5588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Ед.</w:t>
            </w:r>
          </w:p>
          <w:p w:rsidR="00F5588A" w:rsidRPr="00076182" w:rsidRDefault="0031482E" w:rsidP="002621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3274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5588A" w:rsidRPr="00076182" w:rsidRDefault="00F5588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Показатели по годам</w:t>
            </w:r>
          </w:p>
        </w:tc>
      </w:tr>
      <w:tr w:rsidR="00262192" w:rsidRPr="00081E44" w:rsidTr="00076182">
        <w:trPr>
          <w:trHeight w:val="353"/>
        </w:trPr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2017</w:t>
            </w:r>
          </w:p>
        </w:tc>
      </w:tr>
      <w:tr w:rsidR="00262192" w:rsidRPr="00081E44" w:rsidTr="00076182">
        <w:trPr>
          <w:trHeight w:val="655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62192" w:rsidRPr="00076182" w:rsidRDefault="00CD464C" w:rsidP="006E5C04">
            <w:pPr>
              <w:ind w:left="145" w:right="1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Снижение объема потребляемой электроэнергии, расходуем</w:t>
            </w:r>
            <w:r w:rsidR="006E5C04">
              <w:rPr>
                <w:color w:val="000000"/>
                <w:sz w:val="24"/>
                <w:szCs w:val="24"/>
              </w:rPr>
              <w:t>ой</w:t>
            </w:r>
            <w:r>
              <w:rPr>
                <w:color w:val="000000"/>
                <w:sz w:val="24"/>
                <w:szCs w:val="24"/>
              </w:rPr>
              <w:t xml:space="preserve"> на уличное освещение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2192" w:rsidRPr="00076182" w:rsidRDefault="006E5C04" w:rsidP="006E5C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тыс. </w:t>
            </w:r>
            <w:r w:rsidR="00CD464C">
              <w:rPr>
                <w:color w:val="000000"/>
                <w:sz w:val="24"/>
                <w:szCs w:val="24"/>
              </w:rPr>
              <w:t>кВт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2192" w:rsidRPr="00076182" w:rsidRDefault="00262192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2192" w:rsidRPr="00076182" w:rsidRDefault="00CD464C" w:rsidP="00CD46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2192" w:rsidRPr="00076182" w:rsidRDefault="006E5C04" w:rsidP="006E5C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62192" w:rsidRPr="00076182" w:rsidRDefault="006E5C04" w:rsidP="002621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0372BA" w:rsidRPr="00081E44" w:rsidTr="0031482E"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72BA" w:rsidRPr="00076182" w:rsidRDefault="0031482E" w:rsidP="002621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Этапы и сроки </w:t>
            </w:r>
            <w:r w:rsidR="00EA0193" w:rsidRPr="00076182">
              <w:rPr>
                <w:color w:val="000000"/>
                <w:sz w:val="24"/>
                <w:szCs w:val="24"/>
              </w:rPr>
              <w:t>реализаци</w:t>
            </w:r>
            <w:r>
              <w:rPr>
                <w:color w:val="000000"/>
                <w:sz w:val="24"/>
                <w:szCs w:val="24"/>
              </w:rPr>
              <w:t>и</w:t>
            </w:r>
            <w:r w:rsidR="000372BA" w:rsidRPr="00076182">
              <w:rPr>
                <w:color w:val="000000"/>
                <w:sz w:val="24"/>
                <w:szCs w:val="24"/>
              </w:rPr>
              <w:t xml:space="preserve"> </w:t>
            </w:r>
            <w:r w:rsidR="00EA0193" w:rsidRPr="00076182">
              <w:rPr>
                <w:color w:val="000000"/>
                <w:sz w:val="24"/>
                <w:szCs w:val="24"/>
              </w:rPr>
              <w:t>Подп</w:t>
            </w:r>
            <w:r w:rsidR="000372BA" w:rsidRPr="00076182">
              <w:rPr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75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72BA" w:rsidRPr="00076182" w:rsidRDefault="004D61A3" w:rsidP="0031482E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2014 – 201</w:t>
            </w:r>
            <w:r w:rsidR="00262192" w:rsidRPr="00076182">
              <w:rPr>
                <w:color w:val="000000"/>
                <w:sz w:val="24"/>
                <w:szCs w:val="24"/>
              </w:rPr>
              <w:t>7</w:t>
            </w:r>
            <w:r w:rsidRPr="00076182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0372BA" w:rsidRPr="00081E44" w:rsidTr="00076182">
        <w:tc>
          <w:tcPr>
            <w:tcW w:w="2693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72BA" w:rsidRPr="00076182" w:rsidRDefault="00EA0193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Объем бюджетных ассигнований Подпрограммы</w:t>
            </w:r>
          </w:p>
        </w:tc>
        <w:tc>
          <w:tcPr>
            <w:tcW w:w="7515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E39E1" w:rsidRPr="00B10C73" w:rsidRDefault="00EA0193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Общий объ</w:t>
            </w:r>
            <w:r w:rsidR="0031482E" w:rsidRPr="00B10C73">
              <w:rPr>
                <w:sz w:val="24"/>
                <w:szCs w:val="24"/>
              </w:rPr>
              <w:t>е</w:t>
            </w:r>
            <w:r w:rsidRPr="00B10C73">
              <w:rPr>
                <w:sz w:val="24"/>
                <w:szCs w:val="24"/>
              </w:rPr>
              <w:t>м финансирования Подпрограммы</w:t>
            </w:r>
            <w:r w:rsidR="0031482E" w:rsidRPr="00B10C73">
              <w:rPr>
                <w:sz w:val="24"/>
                <w:szCs w:val="24"/>
              </w:rPr>
              <w:t xml:space="preserve"> </w:t>
            </w:r>
            <w:r w:rsidRPr="00B10C73">
              <w:rPr>
                <w:sz w:val="24"/>
                <w:szCs w:val="24"/>
              </w:rPr>
              <w:t xml:space="preserve">– </w:t>
            </w:r>
            <w:r w:rsidR="00FE39E1" w:rsidRPr="00B10C73">
              <w:rPr>
                <w:sz w:val="24"/>
                <w:szCs w:val="24"/>
              </w:rPr>
              <w:t>4</w:t>
            </w:r>
            <w:r w:rsidR="005D4C7B" w:rsidRPr="00B10C73">
              <w:rPr>
                <w:sz w:val="24"/>
                <w:szCs w:val="24"/>
              </w:rPr>
              <w:t> 084,34</w:t>
            </w:r>
            <w:r w:rsidR="006A571C" w:rsidRPr="00B10C73">
              <w:rPr>
                <w:sz w:val="24"/>
                <w:szCs w:val="24"/>
              </w:rPr>
              <w:t xml:space="preserve"> </w:t>
            </w:r>
            <w:r w:rsidR="00C0117B" w:rsidRPr="00B10C73">
              <w:rPr>
                <w:sz w:val="24"/>
                <w:szCs w:val="24"/>
              </w:rPr>
              <w:t>тыс. руб.</w:t>
            </w:r>
            <w:r w:rsidR="00FE39E1" w:rsidRPr="00B10C73">
              <w:rPr>
                <w:sz w:val="24"/>
                <w:szCs w:val="24"/>
              </w:rPr>
              <w:t>: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 xml:space="preserve">Местный бюджет – </w:t>
            </w:r>
            <w:r w:rsidR="005D4C7B" w:rsidRPr="00B10C73">
              <w:rPr>
                <w:sz w:val="24"/>
                <w:szCs w:val="24"/>
              </w:rPr>
              <w:t>84,34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EA0193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Областной бюджет –</w:t>
            </w:r>
            <w:r w:rsidR="00EA0193" w:rsidRPr="00B10C73">
              <w:rPr>
                <w:sz w:val="24"/>
                <w:szCs w:val="24"/>
              </w:rPr>
              <w:t xml:space="preserve"> </w:t>
            </w:r>
            <w:r w:rsidR="00FE39E1" w:rsidRPr="00B10C73">
              <w:rPr>
                <w:sz w:val="24"/>
                <w:szCs w:val="24"/>
              </w:rPr>
              <w:t>4 000</w:t>
            </w:r>
            <w:r w:rsidR="00C0117B" w:rsidRPr="00B10C73">
              <w:rPr>
                <w:sz w:val="24"/>
                <w:szCs w:val="24"/>
              </w:rPr>
              <w:t>,0</w:t>
            </w:r>
            <w:r w:rsidR="005D4C7B" w:rsidRPr="00B10C73">
              <w:rPr>
                <w:sz w:val="24"/>
                <w:szCs w:val="24"/>
              </w:rPr>
              <w:t>0</w:t>
            </w:r>
            <w:r w:rsidR="00C0117B" w:rsidRPr="00B10C73">
              <w:rPr>
                <w:sz w:val="24"/>
                <w:szCs w:val="24"/>
              </w:rPr>
              <w:t xml:space="preserve"> тыс. руб.</w:t>
            </w:r>
          </w:p>
          <w:p w:rsidR="00C0117B" w:rsidRPr="00B10C73" w:rsidRDefault="00C0117B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 xml:space="preserve">Федеральный бюджет </w:t>
            </w:r>
            <w:r w:rsidR="0031482E" w:rsidRPr="00B10C73">
              <w:rPr>
                <w:sz w:val="24"/>
                <w:szCs w:val="24"/>
              </w:rPr>
              <w:t>–</w:t>
            </w:r>
            <w:r w:rsidRPr="00B10C73">
              <w:rPr>
                <w:sz w:val="24"/>
                <w:szCs w:val="24"/>
              </w:rPr>
              <w:t xml:space="preserve"> </w:t>
            </w:r>
            <w:r w:rsidR="00FE39E1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>,</w:t>
            </w:r>
            <w:r w:rsidR="00FE39E1" w:rsidRPr="00B10C73">
              <w:rPr>
                <w:sz w:val="24"/>
                <w:szCs w:val="24"/>
              </w:rPr>
              <w:t>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10"/>
                <w:szCs w:val="10"/>
              </w:rPr>
            </w:pP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Общий объем финансирования в 2014 г.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руб.: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Местный бюджет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Областной бюджет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Федеральный бюджет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10"/>
                <w:szCs w:val="10"/>
              </w:rPr>
            </w:pP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Общий объем финансирования в 2015 г. – 4</w:t>
            </w:r>
            <w:r w:rsidR="00BC0361" w:rsidRPr="00B10C73">
              <w:rPr>
                <w:sz w:val="24"/>
                <w:szCs w:val="24"/>
              </w:rPr>
              <w:t> 0</w:t>
            </w:r>
            <w:r w:rsidR="005D4C7B" w:rsidRPr="00B10C73">
              <w:rPr>
                <w:sz w:val="24"/>
                <w:szCs w:val="24"/>
              </w:rPr>
              <w:t>84,34</w:t>
            </w:r>
            <w:r w:rsidRPr="00B10C73">
              <w:rPr>
                <w:sz w:val="24"/>
                <w:szCs w:val="24"/>
              </w:rPr>
              <w:t xml:space="preserve"> тыс. руб.: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 xml:space="preserve">Местный бюджет – </w:t>
            </w:r>
            <w:r w:rsidR="005D4C7B" w:rsidRPr="00B10C73">
              <w:rPr>
                <w:sz w:val="24"/>
                <w:szCs w:val="24"/>
              </w:rPr>
              <w:t>84,34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Областной бюджет – 4 000,0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Федеральный бюджет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10"/>
                <w:szCs w:val="10"/>
              </w:rPr>
            </w:pP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Общий объем финансирования в 2016 г.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руб.: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Местный бюджет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Областной бюджет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B10C73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B10C73">
              <w:rPr>
                <w:sz w:val="24"/>
                <w:szCs w:val="24"/>
              </w:rPr>
              <w:t>Федеральный бюджет – 0,0</w:t>
            </w:r>
            <w:r w:rsidR="005D4C7B" w:rsidRPr="00B10C73">
              <w:rPr>
                <w:sz w:val="24"/>
                <w:szCs w:val="24"/>
              </w:rPr>
              <w:t>0</w:t>
            </w:r>
            <w:r w:rsidRPr="00B10C73">
              <w:rPr>
                <w:sz w:val="24"/>
                <w:szCs w:val="24"/>
              </w:rPr>
              <w:t xml:space="preserve"> тыс. руб.</w:t>
            </w:r>
          </w:p>
          <w:p w:rsidR="0031482E" w:rsidRPr="0031482E" w:rsidRDefault="0031482E" w:rsidP="0031482E">
            <w:pPr>
              <w:ind w:left="145"/>
              <w:jc w:val="both"/>
              <w:rPr>
                <w:sz w:val="10"/>
                <w:szCs w:val="10"/>
              </w:rPr>
            </w:pPr>
          </w:p>
          <w:p w:rsidR="0031482E" w:rsidRPr="00076182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076182">
              <w:rPr>
                <w:sz w:val="24"/>
                <w:szCs w:val="24"/>
              </w:rPr>
              <w:lastRenderedPageBreak/>
              <w:t>Общий объ</w:t>
            </w:r>
            <w:r>
              <w:rPr>
                <w:sz w:val="24"/>
                <w:szCs w:val="24"/>
              </w:rPr>
              <w:t>е</w:t>
            </w:r>
            <w:r w:rsidRPr="00076182">
              <w:rPr>
                <w:sz w:val="24"/>
                <w:szCs w:val="24"/>
              </w:rPr>
              <w:t xml:space="preserve">м финансирования </w:t>
            </w:r>
            <w:r>
              <w:rPr>
                <w:sz w:val="24"/>
                <w:szCs w:val="24"/>
              </w:rPr>
              <w:t xml:space="preserve">в 2017 г. </w:t>
            </w:r>
            <w:r w:rsidRPr="0007618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</w:t>
            </w:r>
            <w:r w:rsidRPr="0007618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5D4C7B">
              <w:rPr>
                <w:sz w:val="24"/>
                <w:szCs w:val="24"/>
              </w:rPr>
              <w:t>0</w:t>
            </w:r>
            <w:r w:rsidRPr="00076182">
              <w:rPr>
                <w:sz w:val="24"/>
                <w:szCs w:val="24"/>
              </w:rPr>
              <w:t xml:space="preserve"> тыс. руб.:</w:t>
            </w:r>
          </w:p>
          <w:p w:rsidR="0031482E" w:rsidRPr="00076182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 w:rsidRPr="00076182">
              <w:rPr>
                <w:sz w:val="24"/>
                <w:szCs w:val="24"/>
              </w:rPr>
              <w:t>Местный бюджет – 0,0</w:t>
            </w:r>
            <w:r w:rsidR="005D4C7B">
              <w:rPr>
                <w:sz w:val="24"/>
                <w:szCs w:val="24"/>
              </w:rPr>
              <w:t>0</w:t>
            </w:r>
            <w:r w:rsidRPr="00076182">
              <w:rPr>
                <w:sz w:val="24"/>
                <w:szCs w:val="24"/>
              </w:rPr>
              <w:t xml:space="preserve"> тыс. руб.</w:t>
            </w:r>
          </w:p>
          <w:p w:rsidR="0031482E" w:rsidRPr="00076182" w:rsidRDefault="0031482E" w:rsidP="0031482E">
            <w:pPr>
              <w:ind w:left="1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</w:t>
            </w:r>
            <w:r w:rsidRPr="00076182">
              <w:rPr>
                <w:sz w:val="24"/>
                <w:szCs w:val="24"/>
              </w:rPr>
              <w:t xml:space="preserve"> 0,0</w:t>
            </w:r>
            <w:r w:rsidR="005D4C7B">
              <w:rPr>
                <w:sz w:val="24"/>
                <w:szCs w:val="24"/>
              </w:rPr>
              <w:t>0</w:t>
            </w:r>
            <w:r w:rsidRPr="00076182">
              <w:rPr>
                <w:sz w:val="24"/>
                <w:szCs w:val="24"/>
              </w:rPr>
              <w:t xml:space="preserve"> тыс. руб.</w:t>
            </w:r>
          </w:p>
          <w:p w:rsidR="000372BA" w:rsidRPr="00076182" w:rsidRDefault="0031482E" w:rsidP="005D4C7B">
            <w:pPr>
              <w:ind w:left="145"/>
              <w:jc w:val="both"/>
              <w:rPr>
                <w:sz w:val="24"/>
                <w:szCs w:val="24"/>
              </w:rPr>
            </w:pPr>
            <w:r w:rsidRPr="00076182">
              <w:rPr>
                <w:sz w:val="24"/>
                <w:szCs w:val="24"/>
              </w:rPr>
              <w:t xml:space="preserve">Федеральный бюджет </w:t>
            </w:r>
            <w:r>
              <w:rPr>
                <w:sz w:val="24"/>
                <w:szCs w:val="24"/>
              </w:rPr>
              <w:t>–</w:t>
            </w:r>
            <w:r w:rsidRPr="00076182">
              <w:rPr>
                <w:sz w:val="24"/>
                <w:szCs w:val="24"/>
              </w:rPr>
              <w:t xml:space="preserve"> 0,0</w:t>
            </w:r>
            <w:r w:rsidR="005D4C7B">
              <w:rPr>
                <w:sz w:val="24"/>
                <w:szCs w:val="24"/>
              </w:rPr>
              <w:t xml:space="preserve">0 </w:t>
            </w:r>
            <w:r w:rsidRPr="00076182">
              <w:rPr>
                <w:sz w:val="24"/>
                <w:szCs w:val="24"/>
              </w:rPr>
              <w:t>тыс. руб</w:t>
            </w:r>
            <w:r>
              <w:rPr>
                <w:sz w:val="24"/>
                <w:szCs w:val="24"/>
              </w:rPr>
              <w:t>.</w:t>
            </w:r>
          </w:p>
        </w:tc>
      </w:tr>
      <w:tr w:rsidR="000372BA" w:rsidRPr="00081E44" w:rsidTr="00076182">
        <w:trPr>
          <w:trHeight w:val="5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2BA" w:rsidRPr="00076182" w:rsidRDefault="000372B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lastRenderedPageBreak/>
              <w:t>Ожидаемые</w:t>
            </w:r>
          </w:p>
          <w:p w:rsidR="000372BA" w:rsidRPr="00076182" w:rsidRDefault="00FE39E1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>р</w:t>
            </w:r>
            <w:r w:rsidR="000372BA" w:rsidRPr="00076182">
              <w:rPr>
                <w:color w:val="000000"/>
                <w:sz w:val="24"/>
                <w:szCs w:val="24"/>
              </w:rPr>
              <w:t>езультаты</w:t>
            </w:r>
            <w:r w:rsidRPr="00076182">
              <w:rPr>
                <w:color w:val="000000"/>
                <w:sz w:val="24"/>
                <w:szCs w:val="24"/>
              </w:rPr>
              <w:t xml:space="preserve"> реализации</w:t>
            </w:r>
            <w:r w:rsidR="00C0117B" w:rsidRPr="00076182">
              <w:rPr>
                <w:color w:val="000000"/>
                <w:sz w:val="24"/>
                <w:szCs w:val="24"/>
              </w:rPr>
              <w:t xml:space="preserve"> </w:t>
            </w:r>
            <w:r w:rsidR="00EA0193" w:rsidRPr="00076182">
              <w:rPr>
                <w:color w:val="000000"/>
                <w:sz w:val="24"/>
                <w:szCs w:val="24"/>
              </w:rPr>
              <w:t>Подп</w:t>
            </w:r>
            <w:r w:rsidR="000372BA" w:rsidRPr="00076182">
              <w:rPr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7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E1" w:rsidRPr="00076182" w:rsidRDefault="00262192" w:rsidP="006E5C04">
            <w:pPr>
              <w:ind w:left="145" w:right="140"/>
              <w:rPr>
                <w:color w:val="000000"/>
                <w:sz w:val="24"/>
                <w:szCs w:val="24"/>
              </w:rPr>
            </w:pPr>
            <w:r w:rsidRPr="00076182">
              <w:rPr>
                <w:color w:val="000000"/>
                <w:sz w:val="24"/>
                <w:szCs w:val="24"/>
              </w:rPr>
              <w:t xml:space="preserve">Снижения объема </w:t>
            </w:r>
            <w:r w:rsidR="006E5C04">
              <w:rPr>
                <w:color w:val="000000"/>
                <w:sz w:val="24"/>
                <w:szCs w:val="24"/>
              </w:rPr>
              <w:t>электроэнергии, расходуемой на уличное освещение до 135,0 тыс. кВт на сумму 600,0 тыс. рублей в год</w:t>
            </w:r>
          </w:p>
        </w:tc>
      </w:tr>
    </w:tbl>
    <w:p w:rsidR="00C0117B" w:rsidRDefault="00C0117B">
      <w:pPr>
        <w:jc w:val="center"/>
        <w:rPr>
          <w:color w:val="000000"/>
        </w:rPr>
      </w:pPr>
    </w:p>
    <w:p w:rsidR="0031482E" w:rsidRPr="00081E44" w:rsidRDefault="0031482E">
      <w:pPr>
        <w:jc w:val="center"/>
        <w:rPr>
          <w:color w:val="000000"/>
        </w:rPr>
      </w:pPr>
    </w:p>
    <w:p w:rsidR="0031482E" w:rsidRPr="008D3B45" w:rsidRDefault="004E5155" w:rsidP="0031482E">
      <w:pPr>
        <w:ind w:firstLine="567"/>
        <w:jc w:val="center"/>
        <w:rPr>
          <w:color w:val="000000"/>
          <w:sz w:val="28"/>
          <w:szCs w:val="24"/>
        </w:rPr>
      </w:pPr>
      <w:r w:rsidRPr="008D3B45">
        <w:rPr>
          <w:color w:val="000000"/>
          <w:sz w:val="28"/>
          <w:szCs w:val="24"/>
        </w:rPr>
        <w:t xml:space="preserve">Раздел </w:t>
      </w:r>
      <w:r w:rsidR="0031482E" w:rsidRPr="008D3B45">
        <w:rPr>
          <w:color w:val="000000"/>
          <w:sz w:val="28"/>
          <w:szCs w:val="24"/>
          <w:lang w:val="en-US"/>
        </w:rPr>
        <w:t>II</w:t>
      </w:r>
      <w:r w:rsidR="0031482E" w:rsidRPr="008D3B45">
        <w:rPr>
          <w:color w:val="000000"/>
          <w:sz w:val="28"/>
          <w:szCs w:val="24"/>
        </w:rPr>
        <w:t xml:space="preserve">. Характеристика сферы реализации Подпрограммы, </w:t>
      </w:r>
    </w:p>
    <w:p w:rsidR="004E5155" w:rsidRPr="008D3B45" w:rsidRDefault="0031482E" w:rsidP="0031482E">
      <w:pPr>
        <w:ind w:firstLine="567"/>
        <w:jc w:val="center"/>
        <w:rPr>
          <w:color w:val="000000"/>
          <w:sz w:val="28"/>
          <w:szCs w:val="24"/>
        </w:rPr>
      </w:pPr>
      <w:r w:rsidRPr="008D3B45">
        <w:rPr>
          <w:color w:val="000000"/>
          <w:sz w:val="28"/>
          <w:szCs w:val="24"/>
        </w:rPr>
        <w:t xml:space="preserve">описание основных проблем в сфере </w:t>
      </w:r>
      <w:r w:rsidR="00D327D7" w:rsidRPr="008D3B45">
        <w:rPr>
          <w:color w:val="000000"/>
          <w:sz w:val="28"/>
          <w:szCs w:val="24"/>
        </w:rPr>
        <w:t>энергосбережения</w:t>
      </w:r>
    </w:p>
    <w:p w:rsidR="00A50E0F" w:rsidRPr="008D3B45" w:rsidRDefault="00A50E0F" w:rsidP="0031482E">
      <w:pPr>
        <w:ind w:firstLine="567"/>
        <w:jc w:val="both"/>
        <w:rPr>
          <w:color w:val="000000"/>
          <w:sz w:val="28"/>
          <w:szCs w:val="24"/>
        </w:rPr>
      </w:pPr>
    </w:p>
    <w:p w:rsidR="00D327D7" w:rsidRPr="008D3B45" w:rsidRDefault="00D327D7" w:rsidP="008D3B45">
      <w:pPr>
        <w:tabs>
          <w:tab w:val="left" w:pos="851"/>
        </w:tabs>
        <w:ind w:firstLine="709"/>
        <w:jc w:val="both"/>
        <w:rPr>
          <w:color w:val="000000"/>
          <w:spacing w:val="-2"/>
          <w:sz w:val="28"/>
          <w:szCs w:val="24"/>
        </w:rPr>
      </w:pPr>
      <w:r w:rsidRPr="008D3B45">
        <w:rPr>
          <w:color w:val="000000"/>
          <w:spacing w:val="-2"/>
          <w:sz w:val="28"/>
          <w:szCs w:val="24"/>
        </w:rPr>
        <w:t>Проблема высокой энергоемкости экономики, большие энергетические издержки в жилищно-коммунальном хозяйстве и бюджетном секторе актуальны как для России, так и для округа в частности. Решение вопросов повышения энергоэффективности экономики муниципального образования имеет приоритетное значение.</w:t>
      </w:r>
    </w:p>
    <w:p w:rsidR="00D327D7" w:rsidRPr="008D3B45" w:rsidRDefault="00D327D7" w:rsidP="008D3B45">
      <w:pPr>
        <w:ind w:firstLine="709"/>
        <w:jc w:val="both"/>
        <w:rPr>
          <w:color w:val="000000"/>
          <w:spacing w:val="-2"/>
          <w:sz w:val="28"/>
          <w:szCs w:val="24"/>
        </w:rPr>
      </w:pPr>
      <w:r w:rsidRPr="008D3B45">
        <w:rPr>
          <w:color w:val="000000"/>
          <w:spacing w:val="-2"/>
          <w:sz w:val="28"/>
          <w:szCs w:val="24"/>
        </w:rPr>
        <w:t xml:space="preserve">Проведение энерго- и ресурсосберегающих мероприятий </w:t>
      </w:r>
      <w:r w:rsidR="004C1291">
        <w:rPr>
          <w:color w:val="000000"/>
          <w:spacing w:val="-2"/>
          <w:sz w:val="28"/>
          <w:szCs w:val="24"/>
        </w:rPr>
        <w:t xml:space="preserve">                                                   </w:t>
      </w:r>
      <w:r w:rsidRPr="008D3B45">
        <w:rPr>
          <w:color w:val="000000"/>
          <w:spacing w:val="-2"/>
          <w:sz w:val="28"/>
          <w:szCs w:val="24"/>
        </w:rPr>
        <w:t>в жилищно-коммунальном и бюджетном секторе хозяйства является необходимым условием развития округа. Повышение эффективности использования энергии позволит решить целый ряд энергетических проблем, накопившихся к настоящему времени. Среди них основными являются следующие:</w:t>
      </w:r>
    </w:p>
    <w:p w:rsidR="00D327D7" w:rsidRPr="008D3B45" w:rsidRDefault="00D327D7" w:rsidP="008D3B45">
      <w:pPr>
        <w:numPr>
          <w:ilvl w:val="0"/>
          <w:numId w:val="20"/>
        </w:numPr>
        <w:tabs>
          <w:tab w:val="left" w:pos="851"/>
        </w:tabs>
        <w:ind w:left="0" w:firstLine="709"/>
        <w:jc w:val="both"/>
        <w:rPr>
          <w:color w:val="000000"/>
          <w:spacing w:val="-2"/>
          <w:sz w:val="28"/>
          <w:szCs w:val="24"/>
        </w:rPr>
      </w:pPr>
      <w:r w:rsidRPr="008D3B45">
        <w:rPr>
          <w:color w:val="000000"/>
          <w:spacing w:val="-2"/>
          <w:sz w:val="28"/>
          <w:szCs w:val="24"/>
        </w:rPr>
        <w:t xml:space="preserve">Высокий уровень потерь энергии и ресурсов при оказании </w:t>
      </w:r>
      <w:r w:rsidR="004C1291">
        <w:rPr>
          <w:color w:val="000000"/>
          <w:spacing w:val="-2"/>
          <w:sz w:val="28"/>
          <w:szCs w:val="24"/>
        </w:rPr>
        <w:t xml:space="preserve">                            </w:t>
      </w:r>
      <w:r w:rsidRPr="008D3B45">
        <w:rPr>
          <w:color w:val="000000"/>
          <w:spacing w:val="-2"/>
          <w:sz w:val="28"/>
          <w:szCs w:val="24"/>
        </w:rPr>
        <w:t>жилищно-коммунальных услуг и ведении городского хозяйства.</w:t>
      </w:r>
    </w:p>
    <w:p w:rsidR="00D327D7" w:rsidRPr="008D3B45" w:rsidRDefault="00D327D7" w:rsidP="008D3B45">
      <w:pPr>
        <w:numPr>
          <w:ilvl w:val="0"/>
          <w:numId w:val="20"/>
        </w:numPr>
        <w:tabs>
          <w:tab w:val="left" w:pos="851"/>
        </w:tabs>
        <w:ind w:left="0" w:firstLine="709"/>
        <w:jc w:val="both"/>
        <w:rPr>
          <w:color w:val="000000"/>
          <w:spacing w:val="-2"/>
          <w:sz w:val="28"/>
          <w:szCs w:val="24"/>
        </w:rPr>
      </w:pPr>
      <w:r w:rsidRPr="008D3B45">
        <w:rPr>
          <w:color w:val="000000"/>
          <w:spacing w:val="-2"/>
          <w:sz w:val="28"/>
          <w:szCs w:val="24"/>
        </w:rPr>
        <w:t>Повышенные потери при оказании жилищно-коммунальных услуг и ведении городского хозяйства присутствуют на всех стадиях производства, передачи, распределения и потребления энергии. Так, например, отсутствие приборов коммерческого учета потребления ресурсов. В целом потери ресурсов в ЖКХ можно оценить величиной 30-40 процентов. Потери создают повышенную финансовую нагрузку на потребителей ресурсов ЖКХ и на бюджет округа.</w:t>
      </w:r>
    </w:p>
    <w:p w:rsidR="00D327D7" w:rsidRPr="008D3B45" w:rsidRDefault="00D327D7" w:rsidP="008D3B45">
      <w:pPr>
        <w:numPr>
          <w:ilvl w:val="0"/>
          <w:numId w:val="20"/>
        </w:numPr>
        <w:tabs>
          <w:tab w:val="left" w:pos="851"/>
        </w:tabs>
        <w:ind w:left="0" w:firstLine="709"/>
        <w:jc w:val="both"/>
        <w:rPr>
          <w:color w:val="000000"/>
          <w:spacing w:val="-2"/>
          <w:sz w:val="28"/>
          <w:szCs w:val="24"/>
        </w:rPr>
      </w:pPr>
      <w:r w:rsidRPr="008D3B45">
        <w:rPr>
          <w:color w:val="000000"/>
          <w:spacing w:val="-2"/>
          <w:sz w:val="28"/>
          <w:szCs w:val="24"/>
        </w:rPr>
        <w:t>Рост тарифного давления на ЖКХ округа, население и муниципальные учреждения.</w:t>
      </w:r>
    </w:p>
    <w:p w:rsidR="00D327D7" w:rsidRPr="008D3B45" w:rsidRDefault="00D327D7" w:rsidP="008D3B45">
      <w:pPr>
        <w:numPr>
          <w:ilvl w:val="0"/>
          <w:numId w:val="20"/>
        </w:numPr>
        <w:tabs>
          <w:tab w:val="left" w:pos="851"/>
        </w:tabs>
        <w:ind w:left="0" w:firstLine="709"/>
        <w:jc w:val="both"/>
        <w:rPr>
          <w:color w:val="000000"/>
          <w:spacing w:val="-2"/>
          <w:sz w:val="28"/>
          <w:szCs w:val="24"/>
        </w:rPr>
      </w:pPr>
      <w:r w:rsidRPr="008D3B45">
        <w:rPr>
          <w:color w:val="000000"/>
          <w:spacing w:val="-2"/>
          <w:sz w:val="28"/>
          <w:szCs w:val="24"/>
        </w:rPr>
        <w:t xml:space="preserve">Низкая эффективность энергетического хозяйства, повышение цен на энергоносители обуславливают рост тарифов на энергетические ресурсы, потребляемые городом и рост тарифного давления на ЖКХ округа, население и муниципальные учреждения. Доля энергетической составляющей в стоимости услуг ЖКХ постоянно растет. </w:t>
      </w:r>
    </w:p>
    <w:p w:rsidR="00D327D7" w:rsidRPr="008D3B45" w:rsidRDefault="00D327D7" w:rsidP="008D3B4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4"/>
        </w:rPr>
      </w:pPr>
      <w:r w:rsidRPr="008D3B45">
        <w:rPr>
          <w:spacing w:val="-4"/>
          <w:sz w:val="28"/>
          <w:szCs w:val="24"/>
        </w:rPr>
        <w:t>Перспективным является создание областной информационной системы мониторинга и управления ЖКХ на основе организации единого информационного пространства, позволяющего в режиме реального времени использовать информацию о процессах и показателях потребления топливно-энергетических ресурсов в ЖКХ и бюджетном секторе.</w:t>
      </w:r>
    </w:p>
    <w:p w:rsidR="00D327D7" w:rsidRPr="008D3B45" w:rsidRDefault="00D327D7" w:rsidP="008D3B45">
      <w:pPr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4"/>
        </w:rPr>
      </w:pPr>
      <w:r w:rsidRPr="008D3B45">
        <w:rPr>
          <w:color w:val="000000"/>
          <w:spacing w:val="-2"/>
          <w:sz w:val="28"/>
          <w:szCs w:val="24"/>
        </w:rPr>
        <w:t xml:space="preserve">Единственным выходом из существующей ситуации для округа является проведение последовательной политики энергосбережения и повышения эффективности использования топливно-энергетических ресурсов </w:t>
      </w:r>
      <w:r w:rsidR="004C1291">
        <w:rPr>
          <w:color w:val="000000"/>
          <w:spacing w:val="-2"/>
          <w:sz w:val="28"/>
          <w:szCs w:val="24"/>
        </w:rPr>
        <w:t xml:space="preserve">                                            </w:t>
      </w:r>
      <w:r w:rsidRPr="008D3B45">
        <w:rPr>
          <w:color w:val="000000"/>
          <w:spacing w:val="-2"/>
          <w:sz w:val="28"/>
          <w:szCs w:val="24"/>
        </w:rPr>
        <w:t>в жилищно-коммунальном и бюджетном секторе хозяйства округа.</w:t>
      </w:r>
    </w:p>
    <w:p w:rsidR="00D327D7" w:rsidRPr="008D3B45" w:rsidRDefault="00D327D7" w:rsidP="008D3B45">
      <w:pPr>
        <w:ind w:firstLine="709"/>
        <w:jc w:val="both"/>
        <w:rPr>
          <w:sz w:val="28"/>
          <w:szCs w:val="24"/>
        </w:rPr>
      </w:pPr>
      <w:r w:rsidRPr="008D3B45">
        <w:rPr>
          <w:sz w:val="28"/>
          <w:szCs w:val="24"/>
        </w:rPr>
        <w:lastRenderedPageBreak/>
        <w:t>В муниципальной казне города Златоуста находятся 286,4 км. Сетей, с количеством светоточек 4 846 шт., основная часть освещения выполнена натриевыми и ртутными лампами, но в эксплуатации находятся старые сети, лампы накаливания.</w:t>
      </w:r>
    </w:p>
    <w:p w:rsidR="00D327D7" w:rsidRPr="008D3B45" w:rsidRDefault="00D327D7" w:rsidP="008D3B45">
      <w:pPr>
        <w:ind w:firstLine="709"/>
        <w:jc w:val="both"/>
        <w:rPr>
          <w:sz w:val="28"/>
          <w:szCs w:val="24"/>
        </w:rPr>
      </w:pPr>
      <w:r w:rsidRPr="008D3B45">
        <w:rPr>
          <w:sz w:val="28"/>
          <w:szCs w:val="24"/>
        </w:rPr>
        <w:t>Состояние уличного освещения округа в настоящее время требует значительного улучшения.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 Сложившуюся ситуацию необходимо устранить в возможно короткие сроки, учитывая, что состояние наружного освещения имеет не только народнохозяйственное, но и важное социальное значение.</w:t>
      </w:r>
    </w:p>
    <w:p w:rsidR="00D327D7" w:rsidRPr="008D3B45" w:rsidRDefault="00D327D7" w:rsidP="008D3B45">
      <w:pPr>
        <w:ind w:firstLine="709"/>
        <w:jc w:val="both"/>
        <w:rPr>
          <w:sz w:val="28"/>
          <w:szCs w:val="24"/>
        </w:rPr>
      </w:pPr>
      <w:r w:rsidRPr="008D3B45">
        <w:rPr>
          <w:sz w:val="28"/>
          <w:szCs w:val="24"/>
        </w:rPr>
        <w:t>Более 60 процентов протяженности улиц и дорог частного сектора имеют уровень освещенности ниже норм, предусмотренных СниП 23-05-95 «Естественное и искусственное освещение». Такое положение обусловлено тем, что в наружном освещении округа продолжают работать светильники, нормативный срок службы которых превышен в два и более раз, а их оптические системы не отвечают современным требованиям.</w:t>
      </w:r>
    </w:p>
    <w:p w:rsidR="00D327D7" w:rsidRPr="008D3B45" w:rsidRDefault="00D327D7" w:rsidP="008D3B45">
      <w:pPr>
        <w:ind w:firstLine="709"/>
        <w:jc w:val="both"/>
        <w:rPr>
          <w:sz w:val="28"/>
          <w:szCs w:val="24"/>
        </w:rPr>
      </w:pPr>
      <w:r w:rsidRPr="008D3B45">
        <w:rPr>
          <w:sz w:val="28"/>
          <w:szCs w:val="24"/>
        </w:rPr>
        <w:t>Ежегодно производится оплата за электроэнергию, расходуемую на уличное освещение в объеме ориентировочно 4 222,2 тыс кВт/ч.</w:t>
      </w:r>
    </w:p>
    <w:p w:rsidR="00D327D7" w:rsidRPr="008D3B45" w:rsidRDefault="00D327D7" w:rsidP="008D3B45">
      <w:pPr>
        <w:ind w:firstLine="709"/>
        <w:jc w:val="both"/>
        <w:rPr>
          <w:sz w:val="28"/>
          <w:szCs w:val="24"/>
          <w:highlight w:val="green"/>
        </w:rPr>
      </w:pPr>
    </w:p>
    <w:p w:rsidR="00AB39E0" w:rsidRPr="008D3B45" w:rsidRDefault="00AB39E0" w:rsidP="008D3B45">
      <w:pPr>
        <w:ind w:firstLine="709"/>
        <w:jc w:val="both"/>
        <w:rPr>
          <w:sz w:val="28"/>
          <w:szCs w:val="24"/>
          <w:highlight w:val="green"/>
        </w:rPr>
      </w:pPr>
    </w:p>
    <w:p w:rsidR="005216A8" w:rsidRPr="008D3B45" w:rsidRDefault="004C315A" w:rsidP="008D3B45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8D3B45">
        <w:rPr>
          <w:sz w:val="28"/>
          <w:szCs w:val="24"/>
        </w:rPr>
        <w:t xml:space="preserve">Раздел </w:t>
      </w:r>
      <w:r w:rsidR="005216A8" w:rsidRPr="008D3B45">
        <w:rPr>
          <w:sz w:val="28"/>
          <w:szCs w:val="24"/>
          <w:lang w:val="en-US"/>
        </w:rPr>
        <w:t>III</w:t>
      </w:r>
      <w:r w:rsidR="00D13BBF" w:rsidRPr="008D3B45">
        <w:rPr>
          <w:sz w:val="28"/>
          <w:szCs w:val="24"/>
        </w:rPr>
        <w:t xml:space="preserve">. </w:t>
      </w:r>
      <w:r w:rsidR="005216A8" w:rsidRPr="008D3B45">
        <w:rPr>
          <w:sz w:val="28"/>
          <w:szCs w:val="24"/>
        </w:rPr>
        <w:t xml:space="preserve">Приоритеты муниципальной политики в сфере реализации подпрограммы, </w:t>
      </w:r>
    </w:p>
    <w:p w:rsidR="005216A8" w:rsidRPr="008D3B45" w:rsidRDefault="005216A8" w:rsidP="008D3B45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8D3B45">
        <w:rPr>
          <w:sz w:val="28"/>
          <w:szCs w:val="24"/>
        </w:rPr>
        <w:t xml:space="preserve">цели, задачи и показатели достижения целей и решения задач, </w:t>
      </w:r>
    </w:p>
    <w:p w:rsidR="005216A8" w:rsidRPr="008D3B45" w:rsidRDefault="005216A8" w:rsidP="008D3B45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8D3B45">
        <w:rPr>
          <w:sz w:val="28"/>
          <w:szCs w:val="24"/>
        </w:rPr>
        <w:t xml:space="preserve">описание основных ожидаемых конечных результатов подпрограммы, </w:t>
      </w:r>
    </w:p>
    <w:p w:rsidR="00D13BBF" w:rsidRPr="008D3B45" w:rsidRDefault="005216A8" w:rsidP="008D3B45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8D3B45">
        <w:rPr>
          <w:sz w:val="28"/>
          <w:szCs w:val="24"/>
        </w:rPr>
        <w:t xml:space="preserve">сроков и контрольных этапов реализации </w:t>
      </w:r>
      <w:r w:rsidR="00C150F9" w:rsidRPr="008D3B45">
        <w:rPr>
          <w:sz w:val="28"/>
          <w:szCs w:val="24"/>
        </w:rPr>
        <w:t>П</w:t>
      </w:r>
      <w:r w:rsidRPr="008D3B45">
        <w:rPr>
          <w:sz w:val="28"/>
          <w:szCs w:val="24"/>
        </w:rPr>
        <w:t>одпрограммы</w:t>
      </w:r>
    </w:p>
    <w:p w:rsidR="00D13BBF" w:rsidRPr="008D3B45" w:rsidRDefault="00D13BBF" w:rsidP="008D3B45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</w:p>
    <w:p w:rsidR="00C150F9" w:rsidRPr="008D3B45" w:rsidRDefault="00C150F9" w:rsidP="008D3B45">
      <w:pPr>
        <w:pStyle w:val="a7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Основн</w:t>
      </w:r>
      <w:r w:rsidR="00190D32" w:rsidRPr="008D3B45">
        <w:rPr>
          <w:rFonts w:ascii="Times New Roman" w:hAnsi="Times New Roman"/>
          <w:sz w:val="28"/>
          <w:szCs w:val="24"/>
        </w:rPr>
        <w:t xml:space="preserve">ой </w:t>
      </w:r>
      <w:r w:rsidRPr="008D3B45">
        <w:rPr>
          <w:rFonts w:ascii="Times New Roman" w:hAnsi="Times New Roman"/>
          <w:sz w:val="28"/>
          <w:szCs w:val="24"/>
        </w:rPr>
        <w:t>цел</w:t>
      </w:r>
      <w:r w:rsidR="00190D32" w:rsidRPr="008D3B45">
        <w:rPr>
          <w:rFonts w:ascii="Times New Roman" w:hAnsi="Times New Roman"/>
          <w:sz w:val="28"/>
          <w:szCs w:val="24"/>
        </w:rPr>
        <w:t>ью</w:t>
      </w:r>
      <w:r w:rsidRPr="008D3B45">
        <w:rPr>
          <w:rFonts w:ascii="Times New Roman" w:hAnsi="Times New Roman"/>
          <w:sz w:val="28"/>
          <w:szCs w:val="24"/>
        </w:rPr>
        <w:t xml:space="preserve"> Подпрограммы явля</w:t>
      </w:r>
      <w:r w:rsidR="00190D32" w:rsidRPr="008D3B45">
        <w:rPr>
          <w:rFonts w:ascii="Times New Roman" w:hAnsi="Times New Roman"/>
          <w:sz w:val="28"/>
          <w:szCs w:val="24"/>
        </w:rPr>
        <w:t>ет</w:t>
      </w:r>
      <w:r w:rsidR="002B7D9C" w:rsidRPr="008D3B45">
        <w:rPr>
          <w:rFonts w:ascii="Times New Roman" w:hAnsi="Times New Roman"/>
          <w:sz w:val="28"/>
          <w:szCs w:val="24"/>
        </w:rPr>
        <w:t>ся:</w:t>
      </w:r>
    </w:p>
    <w:p w:rsidR="00190D32" w:rsidRPr="008D3B45" w:rsidRDefault="00190D32" w:rsidP="008D3B45">
      <w:pPr>
        <w:pStyle w:val="a7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color w:val="000000"/>
          <w:sz w:val="28"/>
          <w:szCs w:val="24"/>
        </w:rPr>
        <w:t>Повышение энергетической эффективности и экономии бюджетных средств потребителей топливно-энергетических ресурсов на территории округа.</w:t>
      </w:r>
    </w:p>
    <w:p w:rsidR="005F5635" w:rsidRPr="008D3B45" w:rsidRDefault="005F5635" w:rsidP="004C129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8D3B45">
        <w:rPr>
          <w:sz w:val="28"/>
          <w:szCs w:val="24"/>
        </w:rPr>
        <w:t>Подпрограмма предусматривает решение следующих задач:</w:t>
      </w:r>
    </w:p>
    <w:p w:rsidR="002B7D9C" w:rsidRPr="008D3B45" w:rsidRDefault="002B7D9C" w:rsidP="004C1291">
      <w:pPr>
        <w:pStyle w:val="a7"/>
        <w:numPr>
          <w:ilvl w:val="0"/>
          <w:numId w:val="23"/>
        </w:numPr>
        <w:tabs>
          <w:tab w:val="left" w:pos="-993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 xml:space="preserve">Дистанционное управление линиями наружного освещения </w:t>
      </w:r>
      <w:r w:rsidR="004C1291">
        <w:rPr>
          <w:rFonts w:ascii="Times New Roman" w:hAnsi="Times New Roman"/>
          <w:sz w:val="28"/>
          <w:szCs w:val="24"/>
        </w:rPr>
        <w:t xml:space="preserve">                                     </w:t>
      </w:r>
      <w:r w:rsidRPr="008D3B45">
        <w:rPr>
          <w:rFonts w:ascii="Times New Roman" w:hAnsi="Times New Roman"/>
          <w:sz w:val="28"/>
          <w:szCs w:val="24"/>
        </w:rPr>
        <w:t xml:space="preserve">с </w:t>
      </w:r>
      <w:proofErr w:type="spellStart"/>
      <w:r w:rsidRPr="008D3B45">
        <w:rPr>
          <w:rFonts w:ascii="Times New Roman" w:hAnsi="Times New Roman"/>
          <w:sz w:val="28"/>
          <w:szCs w:val="24"/>
        </w:rPr>
        <w:t>дистпетчерского</w:t>
      </w:r>
      <w:proofErr w:type="spellEnd"/>
      <w:r w:rsidRPr="008D3B45">
        <w:rPr>
          <w:rFonts w:ascii="Times New Roman" w:hAnsi="Times New Roman"/>
          <w:sz w:val="28"/>
          <w:szCs w:val="24"/>
        </w:rPr>
        <w:t xml:space="preserve"> пункта.</w:t>
      </w:r>
    </w:p>
    <w:p w:rsidR="002B7D9C" w:rsidRPr="008D3B45" w:rsidRDefault="002B7D9C" w:rsidP="004C1291">
      <w:pPr>
        <w:pStyle w:val="a7"/>
        <w:numPr>
          <w:ilvl w:val="0"/>
          <w:numId w:val="23"/>
        </w:numPr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Осуществление переключения режимов освещения по графику.</w:t>
      </w:r>
    </w:p>
    <w:p w:rsidR="002B7D9C" w:rsidRPr="008D3B45" w:rsidRDefault="002B7D9C" w:rsidP="004C1291">
      <w:pPr>
        <w:pStyle w:val="a7"/>
        <w:numPr>
          <w:ilvl w:val="0"/>
          <w:numId w:val="23"/>
        </w:numPr>
        <w:tabs>
          <w:tab w:val="left" w:pos="-1134"/>
          <w:tab w:val="left" w:pos="-99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Снижение потребления мощности в ночное время до 30% за счет диммирования по графику.</w:t>
      </w:r>
    </w:p>
    <w:p w:rsidR="002B7D9C" w:rsidRPr="008D3B45" w:rsidRDefault="002B7D9C" w:rsidP="004C1291">
      <w:pPr>
        <w:pStyle w:val="a7"/>
        <w:numPr>
          <w:ilvl w:val="0"/>
          <w:numId w:val="23"/>
        </w:numPr>
        <w:tabs>
          <w:tab w:val="left" w:pos="-1134"/>
          <w:tab w:val="left" w:pos="-99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Дистанционный контроль состояния электротехнического оборудования и линий наружного освещения.</w:t>
      </w:r>
    </w:p>
    <w:p w:rsidR="002B7D9C" w:rsidRPr="008D3B45" w:rsidRDefault="002B7D9C" w:rsidP="004C1291">
      <w:pPr>
        <w:pStyle w:val="a7"/>
        <w:numPr>
          <w:ilvl w:val="0"/>
          <w:numId w:val="23"/>
        </w:numPr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Осуществление контроля целостности линий наружного освещения.</w:t>
      </w:r>
    </w:p>
    <w:p w:rsidR="002B7D9C" w:rsidRPr="008D3B45" w:rsidRDefault="002B7D9C" w:rsidP="004C1291">
      <w:pPr>
        <w:pStyle w:val="a7"/>
        <w:numPr>
          <w:ilvl w:val="0"/>
          <w:numId w:val="23"/>
        </w:numPr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Дистанционный контроль и управление до уровня каждой световой точки.</w:t>
      </w:r>
    </w:p>
    <w:p w:rsidR="002B7D9C" w:rsidRPr="008D3B45" w:rsidRDefault="002B7D9C" w:rsidP="004C1291">
      <w:pPr>
        <w:pStyle w:val="a7"/>
        <w:numPr>
          <w:ilvl w:val="0"/>
          <w:numId w:val="23"/>
        </w:numPr>
        <w:tabs>
          <w:tab w:val="left" w:pos="-1134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Дистанционное снятие показаний с приборов учета коммерческого учета электроэнергии.</w:t>
      </w:r>
    </w:p>
    <w:p w:rsidR="00C150F9" w:rsidRPr="008D3B45" w:rsidRDefault="00C150F9" w:rsidP="008D3B45">
      <w:pPr>
        <w:pStyle w:val="a7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t>В результате реализации Подпрограммы планируется достигнуть следующих целевых индикаторов (Таблица 1):</w:t>
      </w:r>
      <w:r w:rsidR="00200BF8" w:rsidRPr="008D3B45">
        <w:rPr>
          <w:rFonts w:ascii="Times New Roman" w:hAnsi="Times New Roman"/>
          <w:sz w:val="28"/>
          <w:szCs w:val="24"/>
        </w:rPr>
        <w:t xml:space="preserve"> </w:t>
      </w:r>
    </w:p>
    <w:p w:rsidR="00200BF8" w:rsidRPr="008D3B45" w:rsidRDefault="00200BF8" w:rsidP="00200BF8">
      <w:pPr>
        <w:pStyle w:val="a7"/>
        <w:tabs>
          <w:tab w:val="left" w:pos="851"/>
        </w:tabs>
        <w:spacing w:after="0" w:line="240" w:lineRule="auto"/>
        <w:ind w:left="0" w:firstLine="567"/>
        <w:jc w:val="right"/>
        <w:rPr>
          <w:rFonts w:ascii="Times New Roman" w:hAnsi="Times New Roman"/>
          <w:sz w:val="28"/>
          <w:szCs w:val="24"/>
        </w:rPr>
      </w:pPr>
      <w:r w:rsidRPr="008D3B45">
        <w:rPr>
          <w:rFonts w:ascii="Times New Roman" w:hAnsi="Times New Roman"/>
          <w:sz w:val="28"/>
          <w:szCs w:val="24"/>
        </w:rPr>
        <w:lastRenderedPageBreak/>
        <w:t>Таблица 1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5"/>
        <w:gridCol w:w="843"/>
        <w:gridCol w:w="1004"/>
        <w:gridCol w:w="1123"/>
        <w:gridCol w:w="1123"/>
        <w:gridCol w:w="1068"/>
      </w:tblGrid>
      <w:tr w:rsidR="00C150F9" w:rsidRPr="00200BF8" w:rsidTr="00190D32">
        <w:trPr>
          <w:trHeight w:val="341"/>
        </w:trPr>
        <w:tc>
          <w:tcPr>
            <w:tcW w:w="5045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84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Ед.</w:t>
            </w:r>
          </w:p>
          <w:p w:rsidR="00C150F9" w:rsidRPr="00200BF8" w:rsidRDefault="00200BF8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4318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Показатели по годам</w:t>
            </w:r>
          </w:p>
        </w:tc>
      </w:tr>
      <w:tr w:rsidR="00C150F9" w:rsidRPr="00200BF8" w:rsidTr="00190D32">
        <w:trPr>
          <w:trHeight w:val="70"/>
        </w:trPr>
        <w:tc>
          <w:tcPr>
            <w:tcW w:w="5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2017</w:t>
            </w:r>
          </w:p>
        </w:tc>
      </w:tr>
      <w:tr w:rsidR="00C150F9" w:rsidRPr="00200BF8" w:rsidTr="007B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6"/>
        </w:trPr>
        <w:tc>
          <w:tcPr>
            <w:tcW w:w="5045" w:type="dxa"/>
            <w:tcBorders>
              <w:left w:val="single" w:sz="4" w:space="0" w:color="auto"/>
            </w:tcBorders>
          </w:tcPr>
          <w:p w:rsidR="00C150F9" w:rsidRPr="00200BF8" w:rsidRDefault="00190D32" w:rsidP="00190D32">
            <w:pPr>
              <w:tabs>
                <w:tab w:val="left" w:pos="851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Снижение объема потребляемой электроэнергии, расходуемой на уличное освещение</w:t>
            </w:r>
          </w:p>
        </w:tc>
        <w:tc>
          <w:tcPr>
            <w:tcW w:w="843" w:type="dxa"/>
            <w:vAlign w:val="center"/>
          </w:tcPr>
          <w:p w:rsidR="00C150F9" w:rsidRPr="00200BF8" w:rsidRDefault="00190D32" w:rsidP="00190D32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кВт</w:t>
            </w:r>
          </w:p>
        </w:tc>
        <w:tc>
          <w:tcPr>
            <w:tcW w:w="1004" w:type="dxa"/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vAlign w:val="center"/>
          </w:tcPr>
          <w:p w:rsidR="00C150F9" w:rsidRPr="00200BF8" w:rsidRDefault="00190D32" w:rsidP="00190D32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vAlign w:val="center"/>
          </w:tcPr>
          <w:p w:rsidR="00C150F9" w:rsidRPr="00200BF8" w:rsidRDefault="00190D32" w:rsidP="00190D32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068" w:type="dxa"/>
            <w:vAlign w:val="center"/>
          </w:tcPr>
          <w:p w:rsidR="00C150F9" w:rsidRPr="00200BF8" w:rsidRDefault="00C150F9" w:rsidP="00200BF8">
            <w:pPr>
              <w:tabs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 w:rsidRPr="00200BF8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C150F9" w:rsidRPr="008D3B45" w:rsidRDefault="00C150F9" w:rsidP="00C150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4"/>
        </w:rPr>
      </w:pPr>
    </w:p>
    <w:p w:rsidR="00C150F9" w:rsidRPr="008D3B45" w:rsidRDefault="00C150F9" w:rsidP="00C150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Подпрограмма реализуется в 2014-2017 годах в один этап.</w:t>
      </w:r>
    </w:p>
    <w:p w:rsidR="00200BF8" w:rsidRPr="008D3B45" w:rsidRDefault="00200BF8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0BF8" w:rsidRPr="008D3B45" w:rsidRDefault="00200BF8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16A8" w:rsidRPr="008D3B45" w:rsidRDefault="00D13BBF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D3B45">
        <w:rPr>
          <w:sz w:val="28"/>
          <w:szCs w:val="28"/>
        </w:rPr>
        <w:t xml:space="preserve">Раздел </w:t>
      </w:r>
      <w:r w:rsidR="005216A8" w:rsidRPr="008D3B45">
        <w:rPr>
          <w:sz w:val="28"/>
          <w:szCs w:val="28"/>
          <w:lang w:val="en-US"/>
        </w:rPr>
        <w:t>IV</w:t>
      </w:r>
      <w:r w:rsidRPr="008D3B45">
        <w:rPr>
          <w:sz w:val="28"/>
          <w:szCs w:val="28"/>
        </w:rPr>
        <w:t xml:space="preserve">. </w:t>
      </w:r>
      <w:r w:rsidR="005216A8" w:rsidRPr="008D3B45">
        <w:rPr>
          <w:sz w:val="28"/>
          <w:szCs w:val="28"/>
        </w:rPr>
        <w:t>Характеристика основных мероприятий Подпрограммы</w:t>
      </w:r>
    </w:p>
    <w:p w:rsidR="005216A8" w:rsidRPr="008D3B45" w:rsidRDefault="005216A8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4A19" w:rsidRPr="008D3B45" w:rsidRDefault="00C150F9" w:rsidP="00C150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Перечень основных мероприятий Подпрограммы представлен в приложении 1 к Подпрограмме.</w:t>
      </w:r>
    </w:p>
    <w:p w:rsidR="00C150F9" w:rsidRPr="008D3B45" w:rsidRDefault="00C150F9" w:rsidP="00C150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50F9" w:rsidRPr="008D3B45" w:rsidRDefault="00C150F9" w:rsidP="00C150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04A19" w:rsidRPr="008D3B45" w:rsidRDefault="00504A19" w:rsidP="00504A19">
      <w:pPr>
        <w:jc w:val="center"/>
        <w:rPr>
          <w:sz w:val="28"/>
          <w:szCs w:val="28"/>
        </w:rPr>
      </w:pPr>
      <w:r w:rsidRPr="008D3B45">
        <w:rPr>
          <w:sz w:val="28"/>
          <w:szCs w:val="28"/>
        </w:rPr>
        <w:t xml:space="preserve">Раздел </w:t>
      </w:r>
      <w:r w:rsidRPr="008D3B45">
        <w:rPr>
          <w:sz w:val="28"/>
          <w:szCs w:val="28"/>
          <w:lang w:val="en-US"/>
        </w:rPr>
        <w:t>V</w:t>
      </w:r>
      <w:r w:rsidRPr="008D3B45">
        <w:rPr>
          <w:sz w:val="28"/>
          <w:szCs w:val="28"/>
        </w:rPr>
        <w:t>. Информация об участии предприятий и организаций,</w:t>
      </w:r>
    </w:p>
    <w:p w:rsidR="00504A19" w:rsidRPr="008D3B45" w:rsidRDefault="00504A19" w:rsidP="00504A19">
      <w:pPr>
        <w:jc w:val="center"/>
        <w:rPr>
          <w:sz w:val="28"/>
          <w:szCs w:val="28"/>
        </w:rPr>
      </w:pPr>
      <w:r w:rsidRPr="008D3B45">
        <w:rPr>
          <w:sz w:val="28"/>
          <w:szCs w:val="28"/>
        </w:rPr>
        <w:t>независимо от их организационно-правовой формы собственности,</w:t>
      </w:r>
    </w:p>
    <w:p w:rsidR="00504A19" w:rsidRPr="008D3B45" w:rsidRDefault="00504A19" w:rsidP="00504A19">
      <w:pPr>
        <w:jc w:val="center"/>
        <w:rPr>
          <w:sz w:val="28"/>
          <w:szCs w:val="28"/>
        </w:rPr>
      </w:pPr>
      <w:r w:rsidRPr="008D3B45">
        <w:rPr>
          <w:sz w:val="28"/>
          <w:szCs w:val="28"/>
        </w:rPr>
        <w:t>а также внебюджетных фондов, в реализации Подпрограммы</w:t>
      </w:r>
    </w:p>
    <w:p w:rsidR="00504A19" w:rsidRPr="008D3B45" w:rsidRDefault="00504A19" w:rsidP="00504A19">
      <w:pPr>
        <w:jc w:val="center"/>
        <w:rPr>
          <w:sz w:val="28"/>
          <w:szCs w:val="28"/>
        </w:rPr>
      </w:pPr>
    </w:p>
    <w:p w:rsidR="00504A19" w:rsidRPr="008D3B45" w:rsidRDefault="00504A19" w:rsidP="00504A19">
      <w:pPr>
        <w:ind w:firstLine="567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Предприятия и организации, независимо от их организационно-правовой формы собственности, а также внебюджетные фонды, в реализации Подпрограммы не участвуют.</w:t>
      </w:r>
    </w:p>
    <w:p w:rsidR="003E07DC" w:rsidRPr="008D3B45" w:rsidRDefault="003E07DC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07DC" w:rsidRPr="008D3B45" w:rsidRDefault="003E07DC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4A19" w:rsidRPr="008D3B45" w:rsidRDefault="00504A19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D3B45">
        <w:rPr>
          <w:sz w:val="28"/>
          <w:szCs w:val="28"/>
        </w:rPr>
        <w:t xml:space="preserve">Раздел </w:t>
      </w:r>
      <w:r w:rsidRPr="008D3B45">
        <w:rPr>
          <w:sz w:val="28"/>
          <w:szCs w:val="28"/>
          <w:lang w:val="en-US"/>
        </w:rPr>
        <w:t>VI</w:t>
      </w:r>
      <w:r w:rsidRPr="008D3B45">
        <w:rPr>
          <w:sz w:val="28"/>
          <w:szCs w:val="28"/>
        </w:rPr>
        <w:t>. Обоснование объ</w:t>
      </w:r>
      <w:r w:rsidR="003E07DC" w:rsidRPr="008D3B45">
        <w:rPr>
          <w:sz w:val="28"/>
          <w:szCs w:val="28"/>
        </w:rPr>
        <w:t>ема финансовых ресурсов,</w:t>
      </w:r>
    </w:p>
    <w:p w:rsidR="00504A19" w:rsidRPr="008D3B45" w:rsidRDefault="00504A19" w:rsidP="00504A19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8D3B45">
        <w:rPr>
          <w:sz w:val="28"/>
          <w:szCs w:val="28"/>
        </w:rPr>
        <w:t>необходимых</w:t>
      </w:r>
      <w:proofErr w:type="gramEnd"/>
      <w:r w:rsidRPr="008D3B45">
        <w:rPr>
          <w:sz w:val="28"/>
          <w:szCs w:val="28"/>
        </w:rPr>
        <w:t xml:space="preserve"> для реализации  Подпрограммы</w:t>
      </w:r>
    </w:p>
    <w:p w:rsidR="00504A19" w:rsidRPr="008D3B45" w:rsidRDefault="00504A19" w:rsidP="00504A19">
      <w:pPr>
        <w:tabs>
          <w:tab w:val="left" w:pos="709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Оценка объема затрат на реализацию мероприятий Подпрограммы выполняется плановым методом, при котором объем ассигнований на исполнение обязательств определяется на основании проектно-сметной документации с возможной корректировкой.</w:t>
      </w:r>
    </w:p>
    <w:p w:rsidR="00504A19" w:rsidRPr="008D3B45" w:rsidRDefault="00504A19" w:rsidP="008D3B4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Общий объем финансирования Подпрограммы – 4</w:t>
      </w:r>
      <w:r w:rsidR="005D4C7B" w:rsidRPr="008D3B45">
        <w:rPr>
          <w:sz w:val="28"/>
          <w:szCs w:val="28"/>
        </w:rPr>
        <w:t> 084,34</w:t>
      </w:r>
      <w:r w:rsidRPr="008D3B45">
        <w:rPr>
          <w:sz w:val="28"/>
          <w:szCs w:val="28"/>
        </w:rPr>
        <w:t xml:space="preserve"> тыс. руб.: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 xml:space="preserve">Местный бюджет – </w:t>
      </w:r>
      <w:r w:rsidR="005D4C7B" w:rsidRPr="008D3B45">
        <w:rPr>
          <w:sz w:val="28"/>
          <w:szCs w:val="28"/>
        </w:rPr>
        <w:t>84,34</w:t>
      </w:r>
      <w:r w:rsidR="00A27ECA" w:rsidRPr="008D3B45">
        <w:rPr>
          <w:sz w:val="28"/>
          <w:szCs w:val="28"/>
        </w:rPr>
        <w:t xml:space="preserve"> </w:t>
      </w:r>
      <w:r w:rsidRPr="008D3B45">
        <w:rPr>
          <w:sz w:val="28"/>
          <w:szCs w:val="28"/>
        </w:rPr>
        <w:t>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 xml:space="preserve">Областной бюджет – </w:t>
      </w:r>
      <w:r w:rsidR="005D4C7B" w:rsidRPr="008D3B45">
        <w:rPr>
          <w:sz w:val="28"/>
          <w:szCs w:val="28"/>
        </w:rPr>
        <w:t>4 000,00</w:t>
      </w:r>
      <w:r w:rsidRPr="008D3B45">
        <w:rPr>
          <w:sz w:val="28"/>
          <w:szCs w:val="28"/>
        </w:rPr>
        <w:t xml:space="preserve">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Федеральный бюджет – 0,0</w:t>
      </w:r>
      <w:r w:rsidR="005D4C7B" w:rsidRPr="008D3B45">
        <w:rPr>
          <w:sz w:val="28"/>
          <w:szCs w:val="28"/>
        </w:rPr>
        <w:t>0</w:t>
      </w:r>
      <w:r w:rsidRPr="008D3B45">
        <w:rPr>
          <w:sz w:val="28"/>
          <w:szCs w:val="28"/>
        </w:rPr>
        <w:t xml:space="preserve">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Общий объем финансирования в 2014 г. – 0,0</w:t>
      </w:r>
      <w:r w:rsidR="005D4C7B" w:rsidRPr="008D3B45">
        <w:rPr>
          <w:sz w:val="28"/>
          <w:szCs w:val="28"/>
        </w:rPr>
        <w:t>0</w:t>
      </w:r>
      <w:r w:rsidRPr="008D3B45">
        <w:rPr>
          <w:sz w:val="28"/>
          <w:szCs w:val="28"/>
        </w:rPr>
        <w:t xml:space="preserve"> тыс. руб.: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Местный бюджет – 0,0</w:t>
      </w:r>
      <w:r w:rsidR="005D4C7B" w:rsidRPr="008D3B45">
        <w:rPr>
          <w:sz w:val="28"/>
          <w:szCs w:val="28"/>
        </w:rPr>
        <w:t>0</w:t>
      </w:r>
      <w:r w:rsidRPr="008D3B45">
        <w:rPr>
          <w:sz w:val="28"/>
          <w:szCs w:val="28"/>
        </w:rPr>
        <w:t xml:space="preserve">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Областной бюджет – 0,0</w:t>
      </w:r>
      <w:r w:rsidR="005D4C7B" w:rsidRPr="008D3B45">
        <w:rPr>
          <w:sz w:val="28"/>
          <w:szCs w:val="28"/>
        </w:rPr>
        <w:t>0</w:t>
      </w:r>
      <w:r w:rsidRPr="008D3B45">
        <w:rPr>
          <w:sz w:val="28"/>
          <w:szCs w:val="28"/>
        </w:rPr>
        <w:t xml:space="preserve">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Федеральный бюджет – 0,0</w:t>
      </w:r>
      <w:r w:rsidR="005D4C7B" w:rsidRPr="008D3B45">
        <w:rPr>
          <w:sz w:val="28"/>
          <w:szCs w:val="28"/>
        </w:rPr>
        <w:t>0</w:t>
      </w:r>
      <w:r w:rsidRPr="008D3B45">
        <w:rPr>
          <w:sz w:val="28"/>
          <w:szCs w:val="28"/>
        </w:rPr>
        <w:t xml:space="preserve">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Общий объем финансирования в 2015 г. – 4</w:t>
      </w:r>
      <w:r w:rsidR="005D4C7B" w:rsidRPr="008D3B45">
        <w:rPr>
          <w:sz w:val="28"/>
          <w:szCs w:val="28"/>
        </w:rPr>
        <w:t> 084,34</w:t>
      </w:r>
      <w:r w:rsidRPr="008D3B45">
        <w:rPr>
          <w:sz w:val="28"/>
          <w:szCs w:val="28"/>
        </w:rPr>
        <w:t xml:space="preserve"> тыс. руб.: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 xml:space="preserve">Местный бюджет – </w:t>
      </w:r>
      <w:r w:rsidR="005D4C7B" w:rsidRPr="008D3B45">
        <w:rPr>
          <w:sz w:val="28"/>
          <w:szCs w:val="28"/>
        </w:rPr>
        <w:t>84,34</w:t>
      </w:r>
      <w:r w:rsidRPr="008D3B45">
        <w:rPr>
          <w:sz w:val="28"/>
          <w:szCs w:val="28"/>
        </w:rPr>
        <w:t xml:space="preserve">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lastRenderedPageBreak/>
        <w:t>Областной бюджет – 4 000,0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Федеральный бюджет – 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Общий объем финансирования в 2016 г. – 0,0 тыс. руб.: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Местный бюджет – 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Областной бюджет – 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Федеральный бюджет – 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Общий объем финансирования в 2017 г. – 0,0 тыс. руб.: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Местный бюджет – 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Областной бюджет – 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Федеральный бюджет – 0,0 тыс. руб.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Оценка эффективности расходования бюджетных средств, производится ежегодно на основе использования системы целевых индикаторов (показателей) характеризующих:</w:t>
      </w:r>
    </w:p>
    <w:p w:rsidR="00504A19" w:rsidRPr="008D3B45" w:rsidRDefault="00504A19" w:rsidP="008D3B45">
      <w:pPr>
        <w:numPr>
          <w:ilvl w:val="2"/>
          <w:numId w:val="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Степень достижения целей, решения тактических задач.</w:t>
      </w:r>
    </w:p>
    <w:p w:rsidR="00504A19" w:rsidRPr="008D3B45" w:rsidRDefault="00504A19" w:rsidP="008D3B45">
      <w:pPr>
        <w:numPr>
          <w:ilvl w:val="2"/>
          <w:numId w:val="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Степень соответствия запланированному уровню затрат.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Данная оценка эффективности обеспечит мониторинг динамики изменений показателей за оцениваемый период с целью уточнения задач и мероприятий Подпрограммы. Оценка эффективности Подпрограммы будет производиться путем сравнения значений целевых индикаторов в предыдущем году с установленными значениями на отчетный год.</w:t>
      </w:r>
    </w:p>
    <w:p w:rsidR="00504A19" w:rsidRPr="008D3B45" w:rsidRDefault="00504A1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Анализ оценки эффективности и результативности реализации Подпрограммы осуществляется и основывается на к</w:t>
      </w:r>
      <w:r w:rsidR="00DF55B4" w:rsidRPr="008D3B45">
        <w:rPr>
          <w:sz w:val="28"/>
          <w:szCs w:val="28"/>
        </w:rPr>
        <w:t xml:space="preserve">оличественной оценке состояния </w:t>
      </w:r>
      <w:r w:rsidRPr="008D3B45">
        <w:rPr>
          <w:sz w:val="28"/>
          <w:szCs w:val="28"/>
        </w:rPr>
        <w:t>показателей результативности (индикаторов результативности).</w:t>
      </w:r>
    </w:p>
    <w:p w:rsidR="005216A8" w:rsidRPr="008D3B45" w:rsidRDefault="005216A8" w:rsidP="00BC0361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C150F9" w:rsidRPr="008D3B45" w:rsidRDefault="00C150F9" w:rsidP="00BC0361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475FF9" w:rsidRPr="008D3B45" w:rsidRDefault="00475FF9" w:rsidP="00BC0361">
      <w:pPr>
        <w:ind w:firstLine="567"/>
        <w:jc w:val="center"/>
        <w:rPr>
          <w:sz w:val="28"/>
          <w:szCs w:val="28"/>
        </w:rPr>
      </w:pPr>
      <w:r w:rsidRPr="008D3B45">
        <w:rPr>
          <w:sz w:val="28"/>
          <w:szCs w:val="28"/>
        </w:rPr>
        <w:t xml:space="preserve">Раздел </w:t>
      </w:r>
      <w:r w:rsidR="00C150F9" w:rsidRPr="008D3B45">
        <w:rPr>
          <w:sz w:val="28"/>
          <w:szCs w:val="28"/>
          <w:lang w:val="en-US"/>
        </w:rPr>
        <w:t>VII</w:t>
      </w:r>
      <w:r w:rsidRPr="008D3B45">
        <w:rPr>
          <w:sz w:val="28"/>
          <w:szCs w:val="28"/>
        </w:rPr>
        <w:t xml:space="preserve">. Анализ рисков реализации подпрограммы и описание мер </w:t>
      </w:r>
    </w:p>
    <w:p w:rsidR="00475FF9" w:rsidRPr="008D3B45" w:rsidRDefault="00475FF9" w:rsidP="00BC0361">
      <w:pPr>
        <w:ind w:firstLine="567"/>
        <w:jc w:val="center"/>
        <w:rPr>
          <w:sz w:val="28"/>
          <w:szCs w:val="28"/>
        </w:rPr>
      </w:pPr>
      <w:r w:rsidRPr="008D3B45">
        <w:rPr>
          <w:sz w:val="28"/>
          <w:szCs w:val="28"/>
        </w:rPr>
        <w:t>управления рисками реализации подпрограммы</w:t>
      </w:r>
    </w:p>
    <w:p w:rsidR="00475FF9" w:rsidRPr="008D3B45" w:rsidRDefault="00475FF9" w:rsidP="00BC0361">
      <w:pPr>
        <w:ind w:firstLine="567"/>
        <w:jc w:val="both"/>
        <w:rPr>
          <w:sz w:val="28"/>
          <w:szCs w:val="28"/>
        </w:rPr>
      </w:pPr>
    </w:p>
    <w:p w:rsidR="00475FF9" w:rsidRPr="008D3B45" w:rsidRDefault="00475FF9" w:rsidP="008D3B45">
      <w:pPr>
        <w:ind w:firstLine="709"/>
        <w:jc w:val="both"/>
        <w:rPr>
          <w:sz w:val="28"/>
          <w:szCs w:val="28"/>
        </w:rPr>
      </w:pPr>
      <w:proofErr w:type="gramStart"/>
      <w:r w:rsidRPr="008D3B45">
        <w:rPr>
          <w:sz w:val="28"/>
          <w:szCs w:val="28"/>
        </w:rPr>
        <w:t>Реализация Подпрограммы направлена на эффективное функционирование и повышение качества услуг жилищно-коммунального комплекса</w:t>
      </w:r>
      <w:r w:rsidR="003E07DC" w:rsidRPr="008D3B45">
        <w:rPr>
          <w:sz w:val="28"/>
          <w:szCs w:val="28"/>
        </w:rPr>
        <w:t xml:space="preserve"> в части уличного освещения</w:t>
      </w:r>
      <w:r w:rsidRPr="008D3B45">
        <w:rPr>
          <w:sz w:val="28"/>
          <w:szCs w:val="28"/>
        </w:rPr>
        <w:t xml:space="preserve">, обеспечение соответствия условий проживания населения округа стандартам качества, что является планомерным продолжением и развитием целей и задач, поставленных в Стратегии и Комплексной программе </w:t>
      </w:r>
      <w:r w:rsidR="008D3B45">
        <w:rPr>
          <w:sz w:val="28"/>
          <w:szCs w:val="28"/>
        </w:rPr>
        <w:t xml:space="preserve">                                               </w:t>
      </w:r>
      <w:r w:rsidRPr="008D3B45">
        <w:rPr>
          <w:sz w:val="28"/>
          <w:szCs w:val="28"/>
        </w:rPr>
        <w:t xml:space="preserve">социально-экономического развития Златоустовского городского округа </w:t>
      </w:r>
      <w:r w:rsidR="008D3B45">
        <w:rPr>
          <w:sz w:val="28"/>
          <w:szCs w:val="28"/>
        </w:rPr>
        <w:t xml:space="preserve">                            </w:t>
      </w:r>
      <w:r w:rsidRPr="008D3B45">
        <w:rPr>
          <w:sz w:val="28"/>
          <w:szCs w:val="28"/>
        </w:rPr>
        <w:t>до 2030 года, утвержденной Решением Собрания депутатов Златоустовского городского округа от 05.07.2013 года № 28-ЗГО.</w:t>
      </w:r>
      <w:proofErr w:type="gramEnd"/>
    </w:p>
    <w:p w:rsidR="00475FF9" w:rsidRPr="008D3B45" w:rsidRDefault="00475FF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 xml:space="preserve">Выполнение запланированных мероприятий в сфере </w:t>
      </w:r>
      <w:r w:rsidR="003E07DC" w:rsidRPr="008D3B45">
        <w:rPr>
          <w:sz w:val="28"/>
          <w:szCs w:val="28"/>
        </w:rPr>
        <w:t xml:space="preserve">энергосбережения </w:t>
      </w:r>
      <w:r w:rsidRPr="008D3B45">
        <w:rPr>
          <w:sz w:val="28"/>
          <w:szCs w:val="28"/>
        </w:rPr>
        <w:t xml:space="preserve">приведет к </w:t>
      </w:r>
      <w:r w:rsidR="003E07DC" w:rsidRPr="008D3B45">
        <w:rPr>
          <w:sz w:val="28"/>
          <w:szCs w:val="28"/>
        </w:rPr>
        <w:t>сокращению потребления электроэнергии ориентировочно на 30-40% без ухудшения физических показателей уличного освещения.</w:t>
      </w:r>
    </w:p>
    <w:p w:rsidR="00475FF9" w:rsidRPr="008D3B45" w:rsidRDefault="00475FF9" w:rsidP="008D3B45">
      <w:pPr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>К внешним рискам, оказывающим влияние на достижение запланированных результатов, относятся:</w:t>
      </w:r>
    </w:p>
    <w:p w:rsidR="00475FF9" w:rsidRPr="008D3B45" w:rsidRDefault="008D3B45" w:rsidP="008D3B45">
      <w:pPr>
        <w:pStyle w:val="a7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Форс-мажорные ситуации;</w:t>
      </w:r>
    </w:p>
    <w:p w:rsidR="00475FF9" w:rsidRPr="008D3B45" w:rsidRDefault="00475FF9" w:rsidP="008D3B45">
      <w:pPr>
        <w:pStyle w:val="a7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B4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Изменения в  действующем законодательстве.</w:t>
      </w:r>
    </w:p>
    <w:p w:rsidR="00475FF9" w:rsidRPr="008D3B45" w:rsidRDefault="00475FF9" w:rsidP="008D3B4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B45">
        <w:rPr>
          <w:sz w:val="28"/>
          <w:szCs w:val="28"/>
        </w:rPr>
        <w:t xml:space="preserve">Внутренним риском исполнения Программы является экономическая сбалансированность проводимых мероприятий с планируемым финансированием из средств областного и местного бюджетов. Дефицит бюджетных средств, отсутствие финансирования приведет к неисполнению запланированных мероприятий или выполнение их не в полном объеме повлечет дальнейшее увеличение физического износа </w:t>
      </w:r>
      <w:r w:rsidR="003E07DC" w:rsidRPr="008D3B45">
        <w:rPr>
          <w:sz w:val="28"/>
          <w:szCs w:val="28"/>
        </w:rPr>
        <w:t>систем наружного (уличного) освещения</w:t>
      </w:r>
      <w:r w:rsidRPr="008D3B45">
        <w:rPr>
          <w:sz w:val="28"/>
          <w:szCs w:val="28"/>
        </w:rPr>
        <w:t>, увеличение количества обращений граждан по неудовлетворительным условиям проживания</w:t>
      </w:r>
      <w:r w:rsidR="003E07DC" w:rsidRPr="008D3B45">
        <w:rPr>
          <w:sz w:val="28"/>
          <w:szCs w:val="28"/>
        </w:rPr>
        <w:t>.</w:t>
      </w:r>
    </w:p>
    <w:p w:rsidR="00475FF9" w:rsidRPr="008D3B45" w:rsidRDefault="00475FF9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F798B" w:rsidRPr="008D3B45" w:rsidRDefault="00FF798B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F798B" w:rsidRDefault="00FF798B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F798B" w:rsidRDefault="00FF798B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A39CE" w:rsidRDefault="008A39CE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B39E0" w:rsidRDefault="00AB39E0" w:rsidP="005216A8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72A9E" w:rsidRPr="008D3B45" w:rsidRDefault="008D3B45" w:rsidP="00673960">
      <w:pPr>
        <w:ind w:left="5670"/>
        <w:jc w:val="center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673960" w:rsidRPr="008D3B45">
        <w:rPr>
          <w:sz w:val="28"/>
          <w:szCs w:val="24"/>
        </w:rPr>
        <w:lastRenderedPageBreak/>
        <w:t xml:space="preserve">ПРИЛОЖЕНИЕ </w:t>
      </w:r>
      <w:r w:rsidR="00B72A9E" w:rsidRPr="008D3B45">
        <w:rPr>
          <w:sz w:val="28"/>
          <w:szCs w:val="24"/>
        </w:rPr>
        <w:t>1</w:t>
      </w:r>
    </w:p>
    <w:p w:rsidR="00673960" w:rsidRPr="008D3B45" w:rsidRDefault="00B72A9E" w:rsidP="00673960">
      <w:pPr>
        <w:ind w:left="5670"/>
        <w:jc w:val="center"/>
        <w:rPr>
          <w:color w:val="000000"/>
          <w:sz w:val="28"/>
          <w:szCs w:val="24"/>
        </w:rPr>
      </w:pPr>
      <w:r w:rsidRPr="008D3B45">
        <w:rPr>
          <w:sz w:val="28"/>
          <w:szCs w:val="24"/>
        </w:rPr>
        <w:t xml:space="preserve">к </w:t>
      </w:r>
      <w:r w:rsidR="008D3B45">
        <w:rPr>
          <w:sz w:val="28"/>
          <w:szCs w:val="24"/>
        </w:rPr>
        <w:t>п</w:t>
      </w:r>
      <w:r w:rsidR="00673960" w:rsidRPr="008D3B45">
        <w:rPr>
          <w:sz w:val="28"/>
          <w:szCs w:val="24"/>
        </w:rPr>
        <w:t xml:space="preserve">одпрограмме </w:t>
      </w:r>
      <w:r w:rsidRPr="008D3B45">
        <w:rPr>
          <w:sz w:val="28"/>
          <w:szCs w:val="24"/>
        </w:rPr>
        <w:t>«</w:t>
      </w:r>
      <w:r w:rsidR="00673960" w:rsidRPr="008D3B45">
        <w:rPr>
          <w:color w:val="000000"/>
          <w:sz w:val="28"/>
          <w:szCs w:val="24"/>
        </w:rPr>
        <w:t xml:space="preserve">Энергосбережение </w:t>
      </w:r>
    </w:p>
    <w:p w:rsidR="00B72A9E" w:rsidRPr="008D3B45" w:rsidRDefault="00673960" w:rsidP="00673960">
      <w:pPr>
        <w:ind w:left="5670"/>
        <w:jc w:val="center"/>
        <w:rPr>
          <w:b/>
          <w:sz w:val="28"/>
          <w:szCs w:val="24"/>
        </w:rPr>
      </w:pPr>
      <w:r w:rsidRPr="008D3B45">
        <w:rPr>
          <w:color w:val="000000"/>
          <w:sz w:val="28"/>
          <w:szCs w:val="24"/>
        </w:rPr>
        <w:t>и повышение энергетической эффективности</w:t>
      </w:r>
      <w:bookmarkStart w:id="0" w:name="_GoBack"/>
      <w:bookmarkEnd w:id="0"/>
      <w:r w:rsidRPr="008D3B45">
        <w:rPr>
          <w:color w:val="000000"/>
          <w:sz w:val="28"/>
          <w:szCs w:val="24"/>
        </w:rPr>
        <w:t xml:space="preserve"> в Златоустовском городском округе</w:t>
      </w:r>
      <w:r w:rsidR="00B72A9E" w:rsidRPr="008D3B45">
        <w:rPr>
          <w:sz w:val="28"/>
          <w:szCs w:val="24"/>
        </w:rPr>
        <w:t>»</w:t>
      </w:r>
    </w:p>
    <w:p w:rsidR="00B72A9E" w:rsidRPr="008D3B45" w:rsidRDefault="00B72A9E" w:rsidP="00B72A9E">
      <w:pPr>
        <w:jc w:val="both"/>
        <w:rPr>
          <w:sz w:val="28"/>
        </w:rPr>
      </w:pPr>
    </w:p>
    <w:p w:rsidR="00B72A9E" w:rsidRPr="008D3B45" w:rsidRDefault="00673960" w:rsidP="00B72A9E">
      <w:pPr>
        <w:ind w:left="432" w:right="19" w:hanging="432"/>
        <w:jc w:val="center"/>
        <w:rPr>
          <w:color w:val="000000"/>
          <w:sz w:val="28"/>
          <w:szCs w:val="24"/>
        </w:rPr>
      </w:pPr>
      <w:r w:rsidRPr="008D3B45">
        <w:rPr>
          <w:color w:val="000000"/>
          <w:sz w:val="28"/>
          <w:szCs w:val="24"/>
        </w:rPr>
        <w:t>Перечень основных мероприятий Подпрограммы</w:t>
      </w:r>
    </w:p>
    <w:p w:rsidR="00673960" w:rsidRPr="008D3B45" w:rsidRDefault="00673960" w:rsidP="00B72A9E">
      <w:pPr>
        <w:ind w:left="432" w:right="19" w:hanging="432"/>
        <w:jc w:val="center"/>
        <w:rPr>
          <w:color w:val="000000"/>
          <w:sz w:val="28"/>
          <w:szCs w:val="24"/>
        </w:rPr>
      </w:pPr>
    </w:p>
    <w:tbl>
      <w:tblPr>
        <w:tblW w:w="108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28"/>
        <w:gridCol w:w="2041"/>
        <w:gridCol w:w="1616"/>
        <w:gridCol w:w="1134"/>
        <w:gridCol w:w="851"/>
        <w:gridCol w:w="1077"/>
        <w:gridCol w:w="851"/>
        <w:gridCol w:w="830"/>
      </w:tblGrid>
      <w:tr w:rsidR="00B72A9E" w:rsidRPr="00673960" w:rsidTr="00932DCA">
        <w:trPr>
          <w:trHeight w:val="27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72A9E" w:rsidRPr="00673960" w:rsidRDefault="00B72A9E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 xml:space="preserve">№ </w:t>
            </w:r>
            <w:proofErr w:type="gramStart"/>
            <w:r w:rsidRPr="00673960">
              <w:rPr>
                <w:sz w:val="24"/>
                <w:szCs w:val="24"/>
              </w:rPr>
              <w:t>п</w:t>
            </w:r>
            <w:proofErr w:type="gramEnd"/>
            <w:r w:rsidRPr="00673960">
              <w:rPr>
                <w:sz w:val="24"/>
                <w:szCs w:val="24"/>
              </w:rPr>
              <w:t>/п</w:t>
            </w:r>
          </w:p>
        </w:tc>
        <w:tc>
          <w:tcPr>
            <w:tcW w:w="1928" w:type="dxa"/>
            <w:vMerge w:val="restart"/>
            <w:shd w:val="clear" w:color="auto" w:fill="auto"/>
            <w:noWrap/>
            <w:vAlign w:val="center"/>
          </w:tcPr>
          <w:p w:rsidR="00B72A9E" w:rsidRPr="00673960" w:rsidRDefault="00B72A9E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Мероприятия</w:t>
            </w:r>
          </w:p>
        </w:tc>
        <w:tc>
          <w:tcPr>
            <w:tcW w:w="2041" w:type="dxa"/>
            <w:vMerge w:val="restart"/>
            <w:shd w:val="clear" w:color="auto" w:fill="auto"/>
            <w:vAlign w:val="center"/>
          </w:tcPr>
          <w:p w:rsidR="00B72A9E" w:rsidRPr="00673960" w:rsidRDefault="00B72A9E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B72A9E" w:rsidRPr="00673960" w:rsidRDefault="00271EE0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Исполнитель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72A9E" w:rsidRPr="00673960" w:rsidRDefault="00B72A9E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Всего, тыс. руб.</w:t>
            </w:r>
          </w:p>
        </w:tc>
        <w:tc>
          <w:tcPr>
            <w:tcW w:w="3609" w:type="dxa"/>
            <w:gridSpan w:val="4"/>
            <w:shd w:val="clear" w:color="auto" w:fill="auto"/>
            <w:noWrap/>
            <w:vAlign w:val="center"/>
          </w:tcPr>
          <w:p w:rsidR="00B72A9E" w:rsidRPr="00673960" w:rsidRDefault="00B72A9E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в том числе по годам</w:t>
            </w:r>
          </w:p>
        </w:tc>
      </w:tr>
      <w:tr w:rsidR="00262192" w:rsidRPr="00673960" w:rsidTr="00932DCA">
        <w:trPr>
          <w:trHeight w:val="417"/>
        </w:trPr>
        <w:tc>
          <w:tcPr>
            <w:tcW w:w="567" w:type="dxa"/>
            <w:vMerge/>
            <w:vAlign w:val="center"/>
          </w:tcPr>
          <w:p w:rsidR="00262192" w:rsidRPr="00673960" w:rsidRDefault="00262192" w:rsidP="00CC5C1F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262192" w:rsidRPr="00673960" w:rsidRDefault="00262192" w:rsidP="00CC5C1F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  <w:vAlign w:val="center"/>
          </w:tcPr>
          <w:p w:rsidR="00262192" w:rsidRPr="00673960" w:rsidRDefault="00262192" w:rsidP="00CC5C1F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262192" w:rsidRPr="00673960" w:rsidRDefault="00262192" w:rsidP="00CC5C1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2192" w:rsidRPr="00673960" w:rsidRDefault="00262192" w:rsidP="00CC5C1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2014</w:t>
            </w:r>
          </w:p>
        </w:tc>
        <w:tc>
          <w:tcPr>
            <w:tcW w:w="1077" w:type="dxa"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2016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62192" w:rsidRPr="00673960" w:rsidRDefault="00262192" w:rsidP="00262192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2017</w:t>
            </w:r>
          </w:p>
        </w:tc>
      </w:tr>
      <w:tr w:rsidR="00262192" w:rsidRPr="00673960" w:rsidTr="00932DCA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1</w:t>
            </w:r>
          </w:p>
        </w:tc>
        <w:tc>
          <w:tcPr>
            <w:tcW w:w="1928" w:type="dxa"/>
            <w:shd w:val="clear" w:color="auto" w:fill="auto"/>
            <w:noWrap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3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2192" w:rsidRPr="00673960" w:rsidRDefault="00262192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8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62192" w:rsidRPr="00673960" w:rsidRDefault="00262192" w:rsidP="00262192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9</w:t>
            </w:r>
          </w:p>
        </w:tc>
      </w:tr>
      <w:tr w:rsidR="00932DCA" w:rsidRPr="00673960" w:rsidTr="00932DCA">
        <w:trPr>
          <w:trHeight w:val="125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932DCA" w:rsidRPr="00673960" w:rsidRDefault="00932DCA" w:rsidP="00CC5C1F">
            <w:pPr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1</w:t>
            </w:r>
          </w:p>
        </w:tc>
        <w:tc>
          <w:tcPr>
            <w:tcW w:w="1928" w:type="dxa"/>
            <w:vMerge w:val="restart"/>
            <w:shd w:val="clear" w:color="auto" w:fill="auto"/>
            <w:noWrap/>
            <w:vAlign w:val="center"/>
          </w:tcPr>
          <w:p w:rsidR="00932DCA" w:rsidRPr="00673960" w:rsidRDefault="00932DCA" w:rsidP="00AB39E0">
            <w:pPr>
              <w:jc w:val="center"/>
              <w:rPr>
                <w:sz w:val="24"/>
                <w:szCs w:val="24"/>
              </w:rPr>
            </w:pPr>
            <w:r w:rsidRPr="00AB39E0">
              <w:rPr>
                <w:sz w:val="24"/>
                <w:szCs w:val="24"/>
              </w:rPr>
              <w:t>Внедрение автоматизированной системы диспетчерского контроля и управления наружным освещением Златоустовского городского округа</w:t>
            </w:r>
            <w:r w:rsidRPr="00AB39E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 w:rsidR="00932DCA" w:rsidRDefault="00932DCA" w:rsidP="00CC5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</w:t>
            </w:r>
          </w:p>
          <w:p w:rsidR="00932DCA" w:rsidRPr="00673960" w:rsidRDefault="00932DCA" w:rsidP="00CC5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</w:p>
        </w:tc>
        <w:tc>
          <w:tcPr>
            <w:tcW w:w="1616" w:type="dxa"/>
            <w:vMerge w:val="restart"/>
            <w:shd w:val="clear" w:color="auto" w:fill="auto"/>
            <w:noWrap/>
            <w:vAlign w:val="center"/>
          </w:tcPr>
          <w:p w:rsidR="00932DCA" w:rsidRPr="00673960" w:rsidRDefault="00932DCA" w:rsidP="00673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ЗГО «УЖКХ»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2DCA" w:rsidRPr="00673960" w:rsidRDefault="00932DCA" w:rsidP="00CC5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2DCA" w:rsidRPr="00673960" w:rsidRDefault="00932DCA" w:rsidP="00CC5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77" w:type="dxa"/>
            <w:vAlign w:val="center"/>
          </w:tcPr>
          <w:p w:rsidR="00932DCA" w:rsidRPr="00673960" w:rsidRDefault="00932DCA" w:rsidP="00932D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2DCA" w:rsidRPr="00673960" w:rsidRDefault="00932DCA" w:rsidP="00CC5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32DCA" w:rsidRPr="00673960" w:rsidRDefault="00932DCA" w:rsidP="002621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32DCA" w:rsidRPr="00673960" w:rsidTr="00932DCA">
        <w:trPr>
          <w:trHeight w:val="1840"/>
        </w:trPr>
        <w:tc>
          <w:tcPr>
            <w:tcW w:w="567" w:type="dxa"/>
            <w:vMerge/>
            <w:shd w:val="clear" w:color="auto" w:fill="auto"/>
            <w:vAlign w:val="center"/>
          </w:tcPr>
          <w:p w:rsidR="00932DCA" w:rsidRPr="00673960" w:rsidRDefault="00932DCA" w:rsidP="00CC5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:rsidR="00932DCA" w:rsidRPr="00AB39E0" w:rsidRDefault="00932DCA" w:rsidP="00AB3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noWrap/>
            <w:vAlign w:val="center"/>
          </w:tcPr>
          <w:p w:rsidR="00932DCA" w:rsidRPr="00673960" w:rsidRDefault="00932DCA" w:rsidP="00211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73960">
              <w:rPr>
                <w:sz w:val="24"/>
                <w:szCs w:val="24"/>
              </w:rPr>
              <w:t>бластной бюджет</w:t>
            </w:r>
          </w:p>
        </w:tc>
        <w:tc>
          <w:tcPr>
            <w:tcW w:w="1616" w:type="dxa"/>
            <w:vMerge/>
            <w:shd w:val="clear" w:color="auto" w:fill="auto"/>
            <w:noWrap/>
            <w:vAlign w:val="center"/>
          </w:tcPr>
          <w:p w:rsidR="00932DCA" w:rsidRPr="00673960" w:rsidRDefault="00932DCA" w:rsidP="00673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2DCA" w:rsidRPr="00673960" w:rsidRDefault="00932DCA" w:rsidP="00AB39E0">
            <w:pPr>
              <w:jc w:val="center"/>
              <w:rPr>
                <w:color w:val="000000"/>
                <w:sz w:val="24"/>
                <w:szCs w:val="24"/>
              </w:rPr>
            </w:pPr>
            <w:r w:rsidRPr="0067396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2DCA" w:rsidRPr="00673960" w:rsidRDefault="00932DCA" w:rsidP="00CC5C1F">
            <w:pPr>
              <w:jc w:val="center"/>
              <w:rPr>
                <w:color w:val="000000"/>
                <w:sz w:val="24"/>
                <w:szCs w:val="24"/>
              </w:rPr>
            </w:pPr>
            <w:r w:rsidRPr="00673960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vAlign w:val="center"/>
          </w:tcPr>
          <w:p w:rsidR="00932DCA" w:rsidRPr="00673960" w:rsidRDefault="00932DCA" w:rsidP="00AB39E0">
            <w:pPr>
              <w:jc w:val="center"/>
              <w:rPr>
                <w:color w:val="000000"/>
                <w:sz w:val="24"/>
                <w:szCs w:val="24"/>
              </w:rPr>
            </w:pPr>
            <w:r w:rsidRPr="0067396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2DCA" w:rsidRPr="00673960" w:rsidRDefault="00932DCA" w:rsidP="00CC5C1F">
            <w:pPr>
              <w:jc w:val="center"/>
              <w:rPr>
                <w:color w:val="000000"/>
                <w:sz w:val="24"/>
                <w:szCs w:val="24"/>
              </w:rPr>
            </w:pPr>
            <w:r w:rsidRPr="00673960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32DCA" w:rsidRPr="00673960" w:rsidRDefault="00932DCA" w:rsidP="00262192">
            <w:pPr>
              <w:jc w:val="center"/>
              <w:rPr>
                <w:color w:val="000000"/>
                <w:sz w:val="24"/>
                <w:szCs w:val="24"/>
              </w:rPr>
            </w:pPr>
            <w:r w:rsidRPr="00673960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262192" w:rsidRPr="00673960" w:rsidTr="00932DCA">
        <w:trPr>
          <w:trHeight w:val="70"/>
        </w:trPr>
        <w:tc>
          <w:tcPr>
            <w:tcW w:w="6152" w:type="dxa"/>
            <w:gridSpan w:val="4"/>
          </w:tcPr>
          <w:p w:rsidR="00262192" w:rsidRPr="00673960" w:rsidRDefault="00262192" w:rsidP="00F83F98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62192" w:rsidRPr="00673960" w:rsidRDefault="00262192" w:rsidP="00932DC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4</w:t>
            </w:r>
            <w:r w:rsidR="00932DCA">
              <w:rPr>
                <w:sz w:val="24"/>
                <w:szCs w:val="24"/>
              </w:rPr>
              <w:t> 084,34</w:t>
            </w:r>
          </w:p>
        </w:tc>
        <w:tc>
          <w:tcPr>
            <w:tcW w:w="851" w:type="dxa"/>
            <w:vAlign w:val="center"/>
          </w:tcPr>
          <w:p w:rsidR="00262192" w:rsidRPr="00673960" w:rsidRDefault="00262192" w:rsidP="00271EE0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0,0</w:t>
            </w:r>
            <w:r w:rsidR="00932DCA">
              <w:rPr>
                <w:sz w:val="24"/>
                <w:szCs w:val="24"/>
              </w:rPr>
              <w:t>0</w:t>
            </w:r>
          </w:p>
        </w:tc>
        <w:tc>
          <w:tcPr>
            <w:tcW w:w="1077" w:type="dxa"/>
            <w:vAlign w:val="center"/>
          </w:tcPr>
          <w:p w:rsidR="00262192" w:rsidRPr="00673960" w:rsidRDefault="00262192" w:rsidP="00932DC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4</w:t>
            </w:r>
            <w:r w:rsidR="00932DCA">
              <w:rPr>
                <w:sz w:val="24"/>
                <w:szCs w:val="24"/>
              </w:rPr>
              <w:t> </w:t>
            </w:r>
            <w:r w:rsidR="00AB39E0">
              <w:rPr>
                <w:sz w:val="24"/>
                <w:szCs w:val="24"/>
              </w:rPr>
              <w:t>0</w:t>
            </w:r>
            <w:r w:rsidR="00932DCA">
              <w:rPr>
                <w:sz w:val="24"/>
                <w:szCs w:val="24"/>
              </w:rPr>
              <w:t>84,34</w:t>
            </w:r>
          </w:p>
        </w:tc>
        <w:tc>
          <w:tcPr>
            <w:tcW w:w="851" w:type="dxa"/>
            <w:vAlign w:val="center"/>
          </w:tcPr>
          <w:p w:rsidR="00262192" w:rsidRPr="00673960" w:rsidRDefault="00262192" w:rsidP="00636CC0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0,0</w:t>
            </w:r>
            <w:r w:rsidR="00932DCA"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262192" w:rsidRPr="00673960" w:rsidRDefault="00262192" w:rsidP="0026219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3960">
              <w:rPr>
                <w:sz w:val="24"/>
                <w:szCs w:val="24"/>
              </w:rPr>
              <w:t>0,0</w:t>
            </w:r>
            <w:r w:rsidR="00932DCA">
              <w:rPr>
                <w:sz w:val="24"/>
                <w:szCs w:val="24"/>
              </w:rPr>
              <w:t>0</w:t>
            </w:r>
          </w:p>
        </w:tc>
      </w:tr>
    </w:tbl>
    <w:p w:rsidR="00BF60D2" w:rsidRPr="00C77E63" w:rsidRDefault="00BF60D2" w:rsidP="00AB39E0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BF60D2" w:rsidRPr="00C77E63" w:rsidSect="00076182">
      <w:pgSz w:w="11906" w:h="16838"/>
      <w:pgMar w:top="1134" w:right="566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>
    <w:nsid w:val="00000006"/>
    <w:multiLevelType w:val="multilevel"/>
    <w:tmpl w:val="14426EC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7">
    <w:nsid w:val="01E429F4"/>
    <w:multiLevelType w:val="hybridMultilevel"/>
    <w:tmpl w:val="89C0F61E"/>
    <w:lvl w:ilvl="0" w:tplc="81F652B6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9B21BE4"/>
    <w:multiLevelType w:val="hybridMultilevel"/>
    <w:tmpl w:val="407670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3821FA6"/>
    <w:multiLevelType w:val="hybridMultilevel"/>
    <w:tmpl w:val="C076EC62"/>
    <w:lvl w:ilvl="0" w:tplc="0419000F">
      <w:start w:val="1"/>
      <w:numFmt w:val="decimal"/>
      <w:lvlText w:val="%1."/>
      <w:lvlJc w:val="left"/>
      <w:pPr>
        <w:ind w:left="1574" w:hanging="360"/>
      </w:pPr>
    </w:lvl>
    <w:lvl w:ilvl="1" w:tplc="04190019" w:tentative="1">
      <w:start w:val="1"/>
      <w:numFmt w:val="lowerLetter"/>
      <w:lvlText w:val="%2."/>
      <w:lvlJc w:val="left"/>
      <w:pPr>
        <w:ind w:left="2294" w:hanging="360"/>
      </w:pPr>
    </w:lvl>
    <w:lvl w:ilvl="2" w:tplc="0419001B" w:tentative="1">
      <w:start w:val="1"/>
      <w:numFmt w:val="lowerRoman"/>
      <w:lvlText w:val="%3."/>
      <w:lvlJc w:val="right"/>
      <w:pPr>
        <w:ind w:left="3014" w:hanging="180"/>
      </w:pPr>
    </w:lvl>
    <w:lvl w:ilvl="3" w:tplc="0419000F" w:tentative="1">
      <w:start w:val="1"/>
      <w:numFmt w:val="decimal"/>
      <w:lvlText w:val="%4."/>
      <w:lvlJc w:val="left"/>
      <w:pPr>
        <w:ind w:left="3734" w:hanging="360"/>
      </w:pPr>
    </w:lvl>
    <w:lvl w:ilvl="4" w:tplc="04190019" w:tentative="1">
      <w:start w:val="1"/>
      <w:numFmt w:val="lowerLetter"/>
      <w:lvlText w:val="%5."/>
      <w:lvlJc w:val="left"/>
      <w:pPr>
        <w:ind w:left="4454" w:hanging="360"/>
      </w:pPr>
    </w:lvl>
    <w:lvl w:ilvl="5" w:tplc="0419001B" w:tentative="1">
      <w:start w:val="1"/>
      <w:numFmt w:val="lowerRoman"/>
      <w:lvlText w:val="%6."/>
      <w:lvlJc w:val="right"/>
      <w:pPr>
        <w:ind w:left="5174" w:hanging="180"/>
      </w:pPr>
    </w:lvl>
    <w:lvl w:ilvl="6" w:tplc="0419000F" w:tentative="1">
      <w:start w:val="1"/>
      <w:numFmt w:val="decimal"/>
      <w:lvlText w:val="%7."/>
      <w:lvlJc w:val="left"/>
      <w:pPr>
        <w:ind w:left="5894" w:hanging="360"/>
      </w:pPr>
    </w:lvl>
    <w:lvl w:ilvl="7" w:tplc="04190019" w:tentative="1">
      <w:start w:val="1"/>
      <w:numFmt w:val="lowerLetter"/>
      <w:lvlText w:val="%8."/>
      <w:lvlJc w:val="left"/>
      <w:pPr>
        <w:ind w:left="6614" w:hanging="360"/>
      </w:pPr>
    </w:lvl>
    <w:lvl w:ilvl="8" w:tplc="0419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10">
    <w:nsid w:val="1E7531EF"/>
    <w:multiLevelType w:val="hybridMultilevel"/>
    <w:tmpl w:val="A22E3A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2FA00F2"/>
    <w:multiLevelType w:val="hybridMultilevel"/>
    <w:tmpl w:val="772A2C16"/>
    <w:lvl w:ilvl="0" w:tplc="0A2A3B96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234F4434"/>
    <w:multiLevelType w:val="hybridMultilevel"/>
    <w:tmpl w:val="A8AEB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1">
      <w:start w:val="1"/>
      <w:numFmt w:val="decimal"/>
      <w:lvlText w:val="%3)"/>
      <w:lvlJc w:val="lef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C8904E5"/>
    <w:multiLevelType w:val="hybridMultilevel"/>
    <w:tmpl w:val="09CE8418"/>
    <w:lvl w:ilvl="0" w:tplc="FD20802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27B20C9"/>
    <w:multiLevelType w:val="hybridMultilevel"/>
    <w:tmpl w:val="12D848A2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2967D95"/>
    <w:multiLevelType w:val="hybridMultilevel"/>
    <w:tmpl w:val="C8E22046"/>
    <w:lvl w:ilvl="0" w:tplc="A6965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56C6970"/>
    <w:multiLevelType w:val="hybridMultilevel"/>
    <w:tmpl w:val="B4B62996"/>
    <w:lvl w:ilvl="0" w:tplc="90BAA2F2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9F37898"/>
    <w:multiLevelType w:val="hybridMultilevel"/>
    <w:tmpl w:val="44365C8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4264AE3"/>
    <w:multiLevelType w:val="hybridMultilevel"/>
    <w:tmpl w:val="314A2C3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50421A9"/>
    <w:multiLevelType w:val="hybridMultilevel"/>
    <w:tmpl w:val="05BE88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8C81725"/>
    <w:multiLevelType w:val="hybridMultilevel"/>
    <w:tmpl w:val="17B4B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2F395E"/>
    <w:multiLevelType w:val="hybridMultilevel"/>
    <w:tmpl w:val="C076EC62"/>
    <w:lvl w:ilvl="0" w:tplc="0419000F">
      <w:start w:val="1"/>
      <w:numFmt w:val="decimal"/>
      <w:lvlText w:val="%1."/>
      <w:lvlJc w:val="left"/>
      <w:pPr>
        <w:ind w:left="1574" w:hanging="360"/>
      </w:pPr>
    </w:lvl>
    <w:lvl w:ilvl="1" w:tplc="04190019" w:tentative="1">
      <w:start w:val="1"/>
      <w:numFmt w:val="lowerLetter"/>
      <w:lvlText w:val="%2."/>
      <w:lvlJc w:val="left"/>
      <w:pPr>
        <w:ind w:left="2294" w:hanging="360"/>
      </w:pPr>
    </w:lvl>
    <w:lvl w:ilvl="2" w:tplc="0419001B" w:tentative="1">
      <w:start w:val="1"/>
      <w:numFmt w:val="lowerRoman"/>
      <w:lvlText w:val="%3."/>
      <w:lvlJc w:val="right"/>
      <w:pPr>
        <w:ind w:left="3014" w:hanging="180"/>
      </w:pPr>
    </w:lvl>
    <w:lvl w:ilvl="3" w:tplc="0419000F" w:tentative="1">
      <w:start w:val="1"/>
      <w:numFmt w:val="decimal"/>
      <w:lvlText w:val="%4."/>
      <w:lvlJc w:val="left"/>
      <w:pPr>
        <w:ind w:left="3734" w:hanging="360"/>
      </w:pPr>
    </w:lvl>
    <w:lvl w:ilvl="4" w:tplc="04190019" w:tentative="1">
      <w:start w:val="1"/>
      <w:numFmt w:val="lowerLetter"/>
      <w:lvlText w:val="%5."/>
      <w:lvlJc w:val="left"/>
      <w:pPr>
        <w:ind w:left="4454" w:hanging="360"/>
      </w:pPr>
    </w:lvl>
    <w:lvl w:ilvl="5" w:tplc="0419001B" w:tentative="1">
      <w:start w:val="1"/>
      <w:numFmt w:val="lowerRoman"/>
      <w:lvlText w:val="%6."/>
      <w:lvlJc w:val="right"/>
      <w:pPr>
        <w:ind w:left="5174" w:hanging="180"/>
      </w:pPr>
    </w:lvl>
    <w:lvl w:ilvl="6" w:tplc="0419000F" w:tentative="1">
      <w:start w:val="1"/>
      <w:numFmt w:val="decimal"/>
      <w:lvlText w:val="%7."/>
      <w:lvlJc w:val="left"/>
      <w:pPr>
        <w:ind w:left="5894" w:hanging="360"/>
      </w:pPr>
    </w:lvl>
    <w:lvl w:ilvl="7" w:tplc="04190019" w:tentative="1">
      <w:start w:val="1"/>
      <w:numFmt w:val="lowerLetter"/>
      <w:lvlText w:val="%8."/>
      <w:lvlJc w:val="left"/>
      <w:pPr>
        <w:ind w:left="6614" w:hanging="360"/>
      </w:pPr>
    </w:lvl>
    <w:lvl w:ilvl="8" w:tplc="0419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2">
    <w:nsid w:val="7D5C7FC8"/>
    <w:multiLevelType w:val="hybridMultilevel"/>
    <w:tmpl w:val="F60CE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2"/>
  </w:num>
  <w:num w:numId="10">
    <w:abstractNumId w:val="15"/>
  </w:num>
  <w:num w:numId="11">
    <w:abstractNumId w:val="22"/>
  </w:num>
  <w:num w:numId="12">
    <w:abstractNumId w:val="9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19"/>
  </w:num>
  <w:num w:numId="18">
    <w:abstractNumId w:val="7"/>
  </w:num>
  <w:num w:numId="19">
    <w:abstractNumId w:val="20"/>
  </w:num>
  <w:num w:numId="20">
    <w:abstractNumId w:val="17"/>
  </w:num>
  <w:num w:numId="21">
    <w:abstractNumId w:val="14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155"/>
    <w:rsid w:val="00006E52"/>
    <w:rsid w:val="00012B28"/>
    <w:rsid w:val="00020007"/>
    <w:rsid w:val="00023E10"/>
    <w:rsid w:val="00030A51"/>
    <w:rsid w:val="00031DFC"/>
    <w:rsid w:val="00033108"/>
    <w:rsid w:val="000372BA"/>
    <w:rsid w:val="00041255"/>
    <w:rsid w:val="00042B69"/>
    <w:rsid w:val="00043508"/>
    <w:rsid w:val="0004467E"/>
    <w:rsid w:val="00054D10"/>
    <w:rsid w:val="00064DD0"/>
    <w:rsid w:val="00074DA2"/>
    <w:rsid w:val="00076182"/>
    <w:rsid w:val="00081E44"/>
    <w:rsid w:val="0008503A"/>
    <w:rsid w:val="00092356"/>
    <w:rsid w:val="000A0411"/>
    <w:rsid w:val="000A34FD"/>
    <w:rsid w:val="000C341F"/>
    <w:rsid w:val="000C6BB5"/>
    <w:rsid w:val="000C7728"/>
    <w:rsid w:val="000E24AD"/>
    <w:rsid w:val="000E3A0A"/>
    <w:rsid w:val="001028A5"/>
    <w:rsid w:val="00115237"/>
    <w:rsid w:val="00132EF8"/>
    <w:rsid w:val="00140164"/>
    <w:rsid w:val="00141DE9"/>
    <w:rsid w:val="001439DE"/>
    <w:rsid w:val="00145E09"/>
    <w:rsid w:val="001471E5"/>
    <w:rsid w:val="00147416"/>
    <w:rsid w:val="001478B7"/>
    <w:rsid w:val="001563B7"/>
    <w:rsid w:val="00157BD6"/>
    <w:rsid w:val="00163B41"/>
    <w:rsid w:val="00165A65"/>
    <w:rsid w:val="0017191B"/>
    <w:rsid w:val="00171F40"/>
    <w:rsid w:val="001750DA"/>
    <w:rsid w:val="00190D32"/>
    <w:rsid w:val="001A5FE3"/>
    <w:rsid w:val="001A623C"/>
    <w:rsid w:val="001C59FF"/>
    <w:rsid w:val="001D7F18"/>
    <w:rsid w:val="001E568E"/>
    <w:rsid w:val="001E6DE7"/>
    <w:rsid w:val="001F1582"/>
    <w:rsid w:val="001F30C0"/>
    <w:rsid w:val="00200BF8"/>
    <w:rsid w:val="002032BE"/>
    <w:rsid w:val="00211D16"/>
    <w:rsid w:val="00211DE4"/>
    <w:rsid w:val="00225043"/>
    <w:rsid w:val="002269B1"/>
    <w:rsid w:val="0023426A"/>
    <w:rsid w:val="002348DC"/>
    <w:rsid w:val="0024159B"/>
    <w:rsid w:val="002443F7"/>
    <w:rsid w:val="00255143"/>
    <w:rsid w:val="00261F77"/>
    <w:rsid w:val="00262192"/>
    <w:rsid w:val="002706D1"/>
    <w:rsid w:val="00271EE0"/>
    <w:rsid w:val="00273AA9"/>
    <w:rsid w:val="00276AE2"/>
    <w:rsid w:val="00290C2A"/>
    <w:rsid w:val="00295814"/>
    <w:rsid w:val="00296EA4"/>
    <w:rsid w:val="002A71AF"/>
    <w:rsid w:val="002B7D9C"/>
    <w:rsid w:val="002C0F23"/>
    <w:rsid w:val="002C294D"/>
    <w:rsid w:val="002F0A74"/>
    <w:rsid w:val="0030447B"/>
    <w:rsid w:val="003104ED"/>
    <w:rsid w:val="0031482E"/>
    <w:rsid w:val="00324B1B"/>
    <w:rsid w:val="00326588"/>
    <w:rsid w:val="003310B4"/>
    <w:rsid w:val="003322D2"/>
    <w:rsid w:val="00334E4B"/>
    <w:rsid w:val="0034137A"/>
    <w:rsid w:val="00345CFC"/>
    <w:rsid w:val="0035600E"/>
    <w:rsid w:val="00356241"/>
    <w:rsid w:val="00363C4C"/>
    <w:rsid w:val="00364192"/>
    <w:rsid w:val="00376A1A"/>
    <w:rsid w:val="003828F5"/>
    <w:rsid w:val="0038300D"/>
    <w:rsid w:val="003839CB"/>
    <w:rsid w:val="00390E8A"/>
    <w:rsid w:val="00392B25"/>
    <w:rsid w:val="0039463C"/>
    <w:rsid w:val="00394D98"/>
    <w:rsid w:val="003A3C6D"/>
    <w:rsid w:val="003A7AD6"/>
    <w:rsid w:val="003B7D29"/>
    <w:rsid w:val="003C6F94"/>
    <w:rsid w:val="003D58BA"/>
    <w:rsid w:val="003E07DC"/>
    <w:rsid w:val="003E0BA8"/>
    <w:rsid w:val="003E6CA5"/>
    <w:rsid w:val="003F1808"/>
    <w:rsid w:val="00400AF7"/>
    <w:rsid w:val="00403B63"/>
    <w:rsid w:val="004054B6"/>
    <w:rsid w:val="0041677A"/>
    <w:rsid w:val="00422910"/>
    <w:rsid w:val="00435E93"/>
    <w:rsid w:val="0045157A"/>
    <w:rsid w:val="00451C68"/>
    <w:rsid w:val="00451EBA"/>
    <w:rsid w:val="00461BB8"/>
    <w:rsid w:val="00467C99"/>
    <w:rsid w:val="004720AC"/>
    <w:rsid w:val="00475FF9"/>
    <w:rsid w:val="00486ACF"/>
    <w:rsid w:val="00497859"/>
    <w:rsid w:val="004A052B"/>
    <w:rsid w:val="004A1755"/>
    <w:rsid w:val="004B6DE0"/>
    <w:rsid w:val="004C1291"/>
    <w:rsid w:val="004C21BF"/>
    <w:rsid w:val="004C2B22"/>
    <w:rsid w:val="004C315A"/>
    <w:rsid w:val="004D2902"/>
    <w:rsid w:val="004D61A3"/>
    <w:rsid w:val="004D6B83"/>
    <w:rsid w:val="004E5155"/>
    <w:rsid w:val="004F718F"/>
    <w:rsid w:val="00504A19"/>
    <w:rsid w:val="00504A5A"/>
    <w:rsid w:val="00510EA4"/>
    <w:rsid w:val="00516EF7"/>
    <w:rsid w:val="005216A8"/>
    <w:rsid w:val="00527949"/>
    <w:rsid w:val="005367B0"/>
    <w:rsid w:val="005373BC"/>
    <w:rsid w:val="00540757"/>
    <w:rsid w:val="00552221"/>
    <w:rsid w:val="005524B3"/>
    <w:rsid w:val="005529F0"/>
    <w:rsid w:val="00557096"/>
    <w:rsid w:val="005660B3"/>
    <w:rsid w:val="00590448"/>
    <w:rsid w:val="005A2B0E"/>
    <w:rsid w:val="005A3D04"/>
    <w:rsid w:val="005D10D1"/>
    <w:rsid w:val="005D4C7B"/>
    <w:rsid w:val="005D630C"/>
    <w:rsid w:val="005F5635"/>
    <w:rsid w:val="005F6704"/>
    <w:rsid w:val="00602C55"/>
    <w:rsid w:val="00607F67"/>
    <w:rsid w:val="00620780"/>
    <w:rsid w:val="00621D53"/>
    <w:rsid w:val="006239CB"/>
    <w:rsid w:val="00631845"/>
    <w:rsid w:val="006322FA"/>
    <w:rsid w:val="00634556"/>
    <w:rsid w:val="0063511C"/>
    <w:rsid w:val="00636CC0"/>
    <w:rsid w:val="0064516B"/>
    <w:rsid w:val="00650F96"/>
    <w:rsid w:val="006525B6"/>
    <w:rsid w:val="00661E45"/>
    <w:rsid w:val="006662BF"/>
    <w:rsid w:val="0067272A"/>
    <w:rsid w:val="00673960"/>
    <w:rsid w:val="00690A42"/>
    <w:rsid w:val="00691755"/>
    <w:rsid w:val="00694E0B"/>
    <w:rsid w:val="00695739"/>
    <w:rsid w:val="006A4A2C"/>
    <w:rsid w:val="006A571C"/>
    <w:rsid w:val="006B1627"/>
    <w:rsid w:val="006B6BB2"/>
    <w:rsid w:val="006B7CB0"/>
    <w:rsid w:val="006D4C79"/>
    <w:rsid w:val="006E0991"/>
    <w:rsid w:val="006E47ED"/>
    <w:rsid w:val="006E5C04"/>
    <w:rsid w:val="00711ACE"/>
    <w:rsid w:val="00714E93"/>
    <w:rsid w:val="007327A4"/>
    <w:rsid w:val="00751952"/>
    <w:rsid w:val="00751F5F"/>
    <w:rsid w:val="00752102"/>
    <w:rsid w:val="00752EED"/>
    <w:rsid w:val="00761BEA"/>
    <w:rsid w:val="00763792"/>
    <w:rsid w:val="00765558"/>
    <w:rsid w:val="0079789C"/>
    <w:rsid w:val="007A217E"/>
    <w:rsid w:val="007B0ED8"/>
    <w:rsid w:val="007B1E5C"/>
    <w:rsid w:val="007B3483"/>
    <w:rsid w:val="007D5B2E"/>
    <w:rsid w:val="007E005E"/>
    <w:rsid w:val="007E65DA"/>
    <w:rsid w:val="007E6C1E"/>
    <w:rsid w:val="007F34E2"/>
    <w:rsid w:val="008031A5"/>
    <w:rsid w:val="00815BE9"/>
    <w:rsid w:val="00815CCD"/>
    <w:rsid w:val="008313A9"/>
    <w:rsid w:val="00836ABE"/>
    <w:rsid w:val="00851A7C"/>
    <w:rsid w:val="00865463"/>
    <w:rsid w:val="00866F7E"/>
    <w:rsid w:val="008760AA"/>
    <w:rsid w:val="008807CA"/>
    <w:rsid w:val="0088392E"/>
    <w:rsid w:val="00894ADD"/>
    <w:rsid w:val="008A39CE"/>
    <w:rsid w:val="008A59B4"/>
    <w:rsid w:val="008B3A0C"/>
    <w:rsid w:val="008B6453"/>
    <w:rsid w:val="008B745B"/>
    <w:rsid w:val="008D3B45"/>
    <w:rsid w:val="008E0DCA"/>
    <w:rsid w:val="009149F5"/>
    <w:rsid w:val="00916AAE"/>
    <w:rsid w:val="00920F89"/>
    <w:rsid w:val="00927944"/>
    <w:rsid w:val="00932C05"/>
    <w:rsid w:val="00932DCA"/>
    <w:rsid w:val="0094017E"/>
    <w:rsid w:val="00940F91"/>
    <w:rsid w:val="0094324D"/>
    <w:rsid w:val="009438C2"/>
    <w:rsid w:val="00943951"/>
    <w:rsid w:val="00951D29"/>
    <w:rsid w:val="009559A1"/>
    <w:rsid w:val="00956BDC"/>
    <w:rsid w:val="009639CA"/>
    <w:rsid w:val="00973A92"/>
    <w:rsid w:val="00974E1E"/>
    <w:rsid w:val="00975004"/>
    <w:rsid w:val="00976EF1"/>
    <w:rsid w:val="00983C15"/>
    <w:rsid w:val="009A1AAC"/>
    <w:rsid w:val="009A3C34"/>
    <w:rsid w:val="009A5F43"/>
    <w:rsid w:val="009B6BB8"/>
    <w:rsid w:val="009C2440"/>
    <w:rsid w:val="009D0F90"/>
    <w:rsid w:val="009E1D5C"/>
    <w:rsid w:val="009E49E1"/>
    <w:rsid w:val="009E5AE0"/>
    <w:rsid w:val="009E5CD5"/>
    <w:rsid w:val="009F1C5B"/>
    <w:rsid w:val="009F339B"/>
    <w:rsid w:val="009F6F40"/>
    <w:rsid w:val="00A02CDE"/>
    <w:rsid w:val="00A2063C"/>
    <w:rsid w:val="00A27ECA"/>
    <w:rsid w:val="00A43359"/>
    <w:rsid w:val="00A50E0F"/>
    <w:rsid w:val="00A56D09"/>
    <w:rsid w:val="00A6343B"/>
    <w:rsid w:val="00A639B1"/>
    <w:rsid w:val="00A647E5"/>
    <w:rsid w:val="00A82203"/>
    <w:rsid w:val="00A83FDD"/>
    <w:rsid w:val="00A8763E"/>
    <w:rsid w:val="00A926E2"/>
    <w:rsid w:val="00AA2D10"/>
    <w:rsid w:val="00AA7DDF"/>
    <w:rsid w:val="00AB21DB"/>
    <w:rsid w:val="00AB39E0"/>
    <w:rsid w:val="00AB6D53"/>
    <w:rsid w:val="00AC3F73"/>
    <w:rsid w:val="00AD09CB"/>
    <w:rsid w:val="00AE0B65"/>
    <w:rsid w:val="00AE1DF2"/>
    <w:rsid w:val="00AE1EC2"/>
    <w:rsid w:val="00AE2E31"/>
    <w:rsid w:val="00AE73B8"/>
    <w:rsid w:val="00AF7D6E"/>
    <w:rsid w:val="00B057B2"/>
    <w:rsid w:val="00B10C73"/>
    <w:rsid w:val="00B4658D"/>
    <w:rsid w:val="00B512E1"/>
    <w:rsid w:val="00B6253A"/>
    <w:rsid w:val="00B72A9E"/>
    <w:rsid w:val="00B74151"/>
    <w:rsid w:val="00B7486E"/>
    <w:rsid w:val="00B82D83"/>
    <w:rsid w:val="00B86F76"/>
    <w:rsid w:val="00BB71AA"/>
    <w:rsid w:val="00BC0361"/>
    <w:rsid w:val="00BC0D81"/>
    <w:rsid w:val="00BC7214"/>
    <w:rsid w:val="00BE0546"/>
    <w:rsid w:val="00BE1B51"/>
    <w:rsid w:val="00BE2BAF"/>
    <w:rsid w:val="00BF3D5D"/>
    <w:rsid w:val="00BF4544"/>
    <w:rsid w:val="00BF60D2"/>
    <w:rsid w:val="00C0117B"/>
    <w:rsid w:val="00C01962"/>
    <w:rsid w:val="00C10D38"/>
    <w:rsid w:val="00C13E63"/>
    <w:rsid w:val="00C150F9"/>
    <w:rsid w:val="00C16E61"/>
    <w:rsid w:val="00C22054"/>
    <w:rsid w:val="00C371B7"/>
    <w:rsid w:val="00C45C45"/>
    <w:rsid w:val="00C551D2"/>
    <w:rsid w:val="00C56849"/>
    <w:rsid w:val="00C63EA8"/>
    <w:rsid w:val="00C6445B"/>
    <w:rsid w:val="00C66355"/>
    <w:rsid w:val="00C66A59"/>
    <w:rsid w:val="00C7036F"/>
    <w:rsid w:val="00C71C00"/>
    <w:rsid w:val="00C73BA7"/>
    <w:rsid w:val="00C741A2"/>
    <w:rsid w:val="00C77E63"/>
    <w:rsid w:val="00CA365D"/>
    <w:rsid w:val="00CA401A"/>
    <w:rsid w:val="00CA4F77"/>
    <w:rsid w:val="00CA51B2"/>
    <w:rsid w:val="00CC5307"/>
    <w:rsid w:val="00CC5C1F"/>
    <w:rsid w:val="00CD464C"/>
    <w:rsid w:val="00CD4922"/>
    <w:rsid w:val="00CE0EB9"/>
    <w:rsid w:val="00CE79EA"/>
    <w:rsid w:val="00CF07B3"/>
    <w:rsid w:val="00CF6353"/>
    <w:rsid w:val="00D1046D"/>
    <w:rsid w:val="00D1338F"/>
    <w:rsid w:val="00D13BBF"/>
    <w:rsid w:val="00D2302F"/>
    <w:rsid w:val="00D327D7"/>
    <w:rsid w:val="00D34A81"/>
    <w:rsid w:val="00D409F1"/>
    <w:rsid w:val="00D5375C"/>
    <w:rsid w:val="00D57B75"/>
    <w:rsid w:val="00D70052"/>
    <w:rsid w:val="00D767CC"/>
    <w:rsid w:val="00DA5250"/>
    <w:rsid w:val="00DB2521"/>
    <w:rsid w:val="00DB7F19"/>
    <w:rsid w:val="00DC4C18"/>
    <w:rsid w:val="00DC79B0"/>
    <w:rsid w:val="00DD06A1"/>
    <w:rsid w:val="00DD2260"/>
    <w:rsid w:val="00DD7BD1"/>
    <w:rsid w:val="00DF52CA"/>
    <w:rsid w:val="00DF55B4"/>
    <w:rsid w:val="00DF649C"/>
    <w:rsid w:val="00DF6B1F"/>
    <w:rsid w:val="00E214CF"/>
    <w:rsid w:val="00E22394"/>
    <w:rsid w:val="00E24192"/>
    <w:rsid w:val="00E27C21"/>
    <w:rsid w:val="00E30757"/>
    <w:rsid w:val="00E34B10"/>
    <w:rsid w:val="00E46BC6"/>
    <w:rsid w:val="00E51985"/>
    <w:rsid w:val="00E56823"/>
    <w:rsid w:val="00E80D4E"/>
    <w:rsid w:val="00E972CB"/>
    <w:rsid w:val="00EA0193"/>
    <w:rsid w:val="00EB7A6D"/>
    <w:rsid w:val="00EC4103"/>
    <w:rsid w:val="00EC47C6"/>
    <w:rsid w:val="00EC7036"/>
    <w:rsid w:val="00ED3F3A"/>
    <w:rsid w:val="00EF24A0"/>
    <w:rsid w:val="00EF3CA6"/>
    <w:rsid w:val="00F029FB"/>
    <w:rsid w:val="00F02D54"/>
    <w:rsid w:val="00F03BA9"/>
    <w:rsid w:val="00F10803"/>
    <w:rsid w:val="00F12A47"/>
    <w:rsid w:val="00F135B9"/>
    <w:rsid w:val="00F31032"/>
    <w:rsid w:val="00F31AEA"/>
    <w:rsid w:val="00F33675"/>
    <w:rsid w:val="00F35477"/>
    <w:rsid w:val="00F434A5"/>
    <w:rsid w:val="00F51023"/>
    <w:rsid w:val="00F51F46"/>
    <w:rsid w:val="00F5588A"/>
    <w:rsid w:val="00F64BA3"/>
    <w:rsid w:val="00F74FD5"/>
    <w:rsid w:val="00F81571"/>
    <w:rsid w:val="00F82B51"/>
    <w:rsid w:val="00F83F98"/>
    <w:rsid w:val="00F96E65"/>
    <w:rsid w:val="00FA46F4"/>
    <w:rsid w:val="00FA4A6A"/>
    <w:rsid w:val="00FB2E93"/>
    <w:rsid w:val="00FB35CE"/>
    <w:rsid w:val="00FD18E3"/>
    <w:rsid w:val="00FD44BD"/>
    <w:rsid w:val="00FE39E1"/>
    <w:rsid w:val="00FF3C8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BAF"/>
  </w:style>
  <w:style w:type="paragraph" w:styleId="1">
    <w:name w:val="heading 1"/>
    <w:basedOn w:val="a"/>
    <w:next w:val="a"/>
    <w:qFormat/>
    <w:rsid w:val="00BE2BA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2BAF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E2BAF"/>
    <w:rPr>
      <w:rFonts w:ascii="Tahoma" w:hAnsi="Tahoma" w:cs="Tahoma"/>
      <w:sz w:val="16"/>
      <w:szCs w:val="16"/>
    </w:rPr>
  </w:style>
  <w:style w:type="character" w:customStyle="1" w:styleId="6">
    <w:name w:val="Заголовок 6 Знак"/>
    <w:rsid w:val="00BE2BAF"/>
    <w:rPr>
      <w:rFonts w:ascii="Arial" w:hAnsi="Arial" w:cs="Arial"/>
      <w:noProof w:val="0"/>
      <w:sz w:val="24"/>
      <w:lang w:val="ru-RU" w:eastAsia="ar-SA" w:bidi="ar-SA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390E8A"/>
    <w:pPr>
      <w:widowControl w:val="0"/>
      <w:suppressAutoHyphens/>
      <w:spacing w:before="100" w:beforeAutospacing="1" w:after="100" w:afterAutospacing="1"/>
    </w:pPr>
    <w:rPr>
      <w:rFonts w:ascii="Tahoma" w:eastAsia="Lucida Sans Unicode" w:hAnsi="Tahoma" w:cs="Tahoma"/>
      <w:kern w:val="1"/>
      <w:lang w:val="en-US" w:eastAsia="en-US"/>
    </w:rPr>
  </w:style>
  <w:style w:type="paragraph" w:customStyle="1" w:styleId="a5">
    <w:name w:val="Таблицы (моноширинный)"/>
    <w:basedOn w:val="a"/>
    <w:next w:val="a"/>
    <w:rsid w:val="003310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6">
    <w:name w:val="Содержимое таблицы"/>
    <w:basedOn w:val="a"/>
    <w:rsid w:val="000372BA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9E5CD5"/>
    <w:pPr>
      <w:ind w:firstLine="708"/>
      <w:jc w:val="both"/>
    </w:pPr>
    <w:rPr>
      <w:sz w:val="24"/>
      <w:lang w:eastAsia="ar-SA"/>
    </w:rPr>
  </w:style>
  <w:style w:type="paragraph" w:styleId="a7">
    <w:name w:val="List Paragraph"/>
    <w:basedOn w:val="a"/>
    <w:uiPriority w:val="34"/>
    <w:qFormat/>
    <w:rsid w:val="00271E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rsid w:val="00262192"/>
    <w:pPr>
      <w:widowControl w:val="0"/>
      <w:autoSpaceDE w:val="0"/>
      <w:jc w:val="both"/>
    </w:pPr>
    <w:rPr>
      <w:rFonts w:ascii="Arial" w:hAnsi="Arial" w:cs="Arial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54;&#1057;&#1058;&#1040;&#1053;&#1054;&#1042;&#1051;&#1045;&#1053;&#1048;&#1045;%20&#1047;&#1043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7DF26-2D1F-451A-B902-03EEEE38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ЗГО</Template>
  <TotalTime>12</TotalTime>
  <Pages>1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Златоуст Челябинской области</vt:lpstr>
    </vt:vector>
  </TitlesOfParts>
  <Company>адм</Company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Златоуст Челябинской области</dc:title>
  <dc:subject/>
  <dc:creator>prot_2</dc:creator>
  <cp:keywords/>
  <cp:lastModifiedBy>prot_1</cp:lastModifiedBy>
  <cp:revision>8</cp:revision>
  <cp:lastPrinted>2015-12-25T05:28:00Z</cp:lastPrinted>
  <dcterms:created xsi:type="dcterms:W3CDTF">2015-12-22T03:34:00Z</dcterms:created>
  <dcterms:modified xsi:type="dcterms:W3CDTF">2015-12-25T05:28:00Z</dcterms:modified>
</cp:coreProperties>
</file>